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3EB3" w14:textId="4ED62F9B" w:rsidR="00D6111A" w:rsidRPr="00343BCC" w:rsidRDefault="00D6111A" w:rsidP="00FD06E1">
      <w:pPr>
        <w:pStyle w:val="NormalWeb"/>
        <w:shd w:val="clear" w:color="auto" w:fill="FFFFFF"/>
        <w:spacing w:before="0" w:beforeAutospacing="0" w:after="0" w:afterAutospacing="0"/>
        <w:jc w:val="both"/>
        <w:rPr>
          <w:rFonts w:ascii="Garamond" w:hAnsi="Garamond"/>
          <w:b/>
          <w:bCs/>
          <w:lang w:val="en-US"/>
        </w:rPr>
      </w:pPr>
      <w:r w:rsidRPr="00343BCC">
        <w:rPr>
          <w:rFonts w:ascii="Garamond" w:hAnsi="Garamond"/>
          <w:b/>
          <w:bCs/>
          <w:lang w:val="en-US"/>
        </w:rPr>
        <w:t xml:space="preserve">CALL FOR PAPERS: Special Issue: </w:t>
      </w:r>
      <w:r w:rsidR="00D76164" w:rsidRPr="00343BCC">
        <w:rPr>
          <w:rFonts w:ascii="Garamond" w:hAnsi="Garamond"/>
          <w:b/>
          <w:bCs/>
          <w:lang w:val="en-US"/>
        </w:rPr>
        <w:t>Foresighting, Imagining, and Crafting Desirable Futures</w:t>
      </w:r>
    </w:p>
    <w:p w14:paraId="1B29085E" w14:textId="77777777" w:rsidR="00FD06E1" w:rsidRPr="00343BCC" w:rsidRDefault="00FD06E1" w:rsidP="00FD06E1">
      <w:pPr>
        <w:pStyle w:val="NormalWeb"/>
        <w:shd w:val="clear" w:color="auto" w:fill="FFFFFF"/>
        <w:spacing w:before="0" w:beforeAutospacing="0" w:after="0" w:afterAutospacing="0"/>
        <w:jc w:val="both"/>
        <w:rPr>
          <w:rFonts w:ascii="Garamond" w:hAnsi="Garamond"/>
          <w:sz w:val="20"/>
          <w:szCs w:val="20"/>
          <w:lang w:val="en-US"/>
        </w:rPr>
      </w:pPr>
    </w:p>
    <w:p w14:paraId="125E5EC7" w14:textId="77777777" w:rsidR="00D6111A" w:rsidRPr="00343BCC" w:rsidRDefault="00D6111A" w:rsidP="00FD06E1">
      <w:pPr>
        <w:pStyle w:val="NormalWeb"/>
        <w:shd w:val="clear" w:color="auto" w:fill="FFFFFF"/>
        <w:spacing w:before="0" w:beforeAutospacing="0" w:after="0" w:afterAutospacing="0"/>
        <w:jc w:val="both"/>
        <w:rPr>
          <w:rFonts w:ascii="Garamond" w:hAnsi="Garamond"/>
          <w:b/>
          <w:bCs/>
          <w:sz w:val="20"/>
          <w:szCs w:val="20"/>
          <w:lang w:val="en-US"/>
        </w:rPr>
      </w:pPr>
      <w:r w:rsidRPr="00343BCC">
        <w:rPr>
          <w:rFonts w:ascii="Garamond" w:hAnsi="Garamond"/>
          <w:b/>
          <w:bCs/>
          <w:i/>
          <w:iCs/>
          <w:sz w:val="20"/>
          <w:szCs w:val="20"/>
          <w:lang w:val="en-US"/>
        </w:rPr>
        <w:t xml:space="preserve">Research-Technology Management </w:t>
      </w:r>
      <w:r w:rsidRPr="00343BCC">
        <w:rPr>
          <w:rFonts w:ascii="Garamond" w:hAnsi="Garamond"/>
          <w:b/>
          <w:bCs/>
          <w:sz w:val="20"/>
          <w:szCs w:val="20"/>
          <w:lang w:val="en-US"/>
        </w:rPr>
        <w:t>is seeking submissions for a special issue on initiatives that are accelerating innovation.</w:t>
      </w:r>
    </w:p>
    <w:p w14:paraId="4B576EAD" w14:textId="77777777" w:rsidR="00FD06E1" w:rsidRPr="00343BCC" w:rsidRDefault="00FD06E1" w:rsidP="00FD06E1">
      <w:pPr>
        <w:pStyle w:val="NormalWeb"/>
        <w:shd w:val="clear" w:color="auto" w:fill="FFFFFF"/>
        <w:spacing w:before="0" w:beforeAutospacing="0" w:after="0" w:afterAutospacing="0"/>
        <w:jc w:val="both"/>
        <w:rPr>
          <w:rFonts w:ascii="Garamond" w:hAnsi="Garamond"/>
          <w:sz w:val="20"/>
          <w:szCs w:val="20"/>
          <w:lang w:val="en-US"/>
        </w:rPr>
      </w:pPr>
    </w:p>
    <w:p w14:paraId="4966B49C" w14:textId="77777777" w:rsidR="00D6111A" w:rsidRPr="003B0CD9" w:rsidRDefault="00D6111A" w:rsidP="00FD06E1">
      <w:pPr>
        <w:pStyle w:val="NormalWeb"/>
        <w:shd w:val="clear" w:color="auto" w:fill="FFFFFF"/>
        <w:spacing w:before="0" w:beforeAutospacing="0" w:after="0" w:afterAutospacing="0"/>
        <w:jc w:val="both"/>
        <w:rPr>
          <w:rFonts w:ascii="Garamond" w:hAnsi="Garamond"/>
          <w:b/>
          <w:bCs/>
          <w:sz w:val="20"/>
          <w:szCs w:val="20"/>
        </w:rPr>
      </w:pPr>
      <w:r w:rsidRPr="003B0CD9">
        <w:rPr>
          <w:rFonts w:ascii="Garamond" w:hAnsi="Garamond"/>
          <w:b/>
          <w:bCs/>
          <w:sz w:val="20"/>
          <w:szCs w:val="20"/>
        </w:rPr>
        <w:t xml:space="preserve">Guest Editors: </w:t>
      </w:r>
    </w:p>
    <w:p w14:paraId="52A18FA1" w14:textId="77777777" w:rsidR="00D76164" w:rsidRPr="003B0CD9" w:rsidRDefault="00D6111A" w:rsidP="00FD06E1">
      <w:pPr>
        <w:pStyle w:val="NormalWeb"/>
        <w:shd w:val="clear" w:color="auto" w:fill="FFFFFF"/>
        <w:spacing w:before="0" w:beforeAutospacing="0" w:after="0" w:afterAutospacing="0"/>
        <w:jc w:val="both"/>
        <w:rPr>
          <w:rFonts w:ascii="Garamond" w:hAnsi="Garamond"/>
          <w:sz w:val="20"/>
          <w:szCs w:val="20"/>
        </w:rPr>
      </w:pPr>
      <w:r w:rsidRPr="003B0CD9">
        <w:rPr>
          <w:rFonts w:ascii="Garamond" w:hAnsi="Garamond"/>
          <w:sz w:val="20"/>
          <w:szCs w:val="20"/>
        </w:rPr>
        <w:t>––</w:t>
      </w:r>
      <w:r w:rsidRPr="003B0CD9">
        <w:rPr>
          <w:rFonts w:ascii="Garamond" w:hAnsi="Garamond"/>
          <w:b/>
          <w:bCs/>
          <w:sz w:val="20"/>
          <w:szCs w:val="20"/>
        </w:rPr>
        <w:t xml:space="preserve">Lead Editor: </w:t>
      </w:r>
      <w:r w:rsidR="00D76164" w:rsidRPr="003B0CD9">
        <w:rPr>
          <w:rFonts w:ascii="Garamond" w:hAnsi="Garamond"/>
          <w:sz w:val="20"/>
          <w:szCs w:val="20"/>
        </w:rPr>
        <w:t xml:space="preserve">Prof. Claudio Dell’Era, Politecnico di Milano – Italy </w:t>
      </w:r>
    </w:p>
    <w:p w14:paraId="19B1AAA7" w14:textId="78EEA4CF" w:rsidR="00D6111A" w:rsidRPr="003B0CD9" w:rsidRDefault="00D6111A" w:rsidP="00FD06E1">
      <w:pPr>
        <w:pStyle w:val="NormalWeb"/>
        <w:shd w:val="clear" w:color="auto" w:fill="FFFFFF"/>
        <w:spacing w:before="0" w:beforeAutospacing="0" w:after="0" w:afterAutospacing="0"/>
        <w:jc w:val="both"/>
        <w:rPr>
          <w:rFonts w:ascii="Garamond" w:hAnsi="Garamond"/>
          <w:sz w:val="20"/>
          <w:szCs w:val="20"/>
        </w:rPr>
      </w:pPr>
      <w:r w:rsidRPr="003B0CD9">
        <w:rPr>
          <w:rFonts w:ascii="Garamond" w:hAnsi="Garamond"/>
          <w:sz w:val="20"/>
          <w:szCs w:val="20"/>
        </w:rPr>
        <w:t>––</w:t>
      </w:r>
      <w:r w:rsidR="00D76164" w:rsidRPr="003B0CD9">
        <w:rPr>
          <w:rFonts w:ascii="Garamond" w:hAnsi="Garamond"/>
          <w:sz w:val="20"/>
          <w:szCs w:val="20"/>
        </w:rPr>
        <w:t>Prof. Stefano Magistretti, Politecnico di Milano – Italy</w:t>
      </w:r>
    </w:p>
    <w:p w14:paraId="4FEC7660" w14:textId="7EB0BDAD" w:rsidR="00D6111A" w:rsidRPr="00343BCC" w:rsidRDefault="00D6111A" w:rsidP="00FD06E1">
      <w:pPr>
        <w:pStyle w:val="NormalWeb"/>
        <w:shd w:val="clear" w:color="auto" w:fill="FFFFFF"/>
        <w:spacing w:before="0" w:beforeAutospacing="0" w:after="0" w:afterAutospacing="0"/>
        <w:jc w:val="both"/>
        <w:rPr>
          <w:rFonts w:ascii="Garamond" w:hAnsi="Garamond"/>
          <w:sz w:val="20"/>
          <w:szCs w:val="20"/>
          <w:lang w:val="en-US"/>
        </w:rPr>
      </w:pPr>
      <w:r w:rsidRPr="00343BCC">
        <w:rPr>
          <w:rFonts w:ascii="Garamond" w:hAnsi="Garamond"/>
          <w:sz w:val="20"/>
          <w:szCs w:val="20"/>
          <w:lang w:val="en-US"/>
        </w:rPr>
        <w:t>––</w:t>
      </w:r>
      <w:r w:rsidR="00D76164" w:rsidRPr="00343BCC">
        <w:rPr>
          <w:rFonts w:ascii="Garamond" w:hAnsi="Garamond"/>
          <w:sz w:val="20"/>
          <w:szCs w:val="20"/>
          <w:lang w:val="en-US"/>
        </w:rPr>
        <w:t>Prof. Evy Sakellariou, Kingston University – UK</w:t>
      </w:r>
    </w:p>
    <w:p w14:paraId="3D861312" w14:textId="15FE1914" w:rsidR="00D6111A" w:rsidRPr="003B0CD9" w:rsidRDefault="00D6111A" w:rsidP="00FD06E1">
      <w:pPr>
        <w:pStyle w:val="NormalWeb"/>
        <w:shd w:val="clear" w:color="auto" w:fill="FFFFFF"/>
        <w:spacing w:before="0" w:beforeAutospacing="0" w:after="0" w:afterAutospacing="0"/>
        <w:jc w:val="both"/>
        <w:rPr>
          <w:rFonts w:ascii="Garamond" w:hAnsi="Garamond"/>
          <w:sz w:val="20"/>
          <w:szCs w:val="20"/>
        </w:rPr>
      </w:pPr>
      <w:r w:rsidRPr="003B0CD9">
        <w:rPr>
          <w:rFonts w:ascii="Garamond" w:hAnsi="Garamond"/>
          <w:sz w:val="20"/>
          <w:szCs w:val="20"/>
        </w:rPr>
        <w:t>––</w:t>
      </w:r>
      <w:r w:rsidR="00D76164" w:rsidRPr="003B0CD9">
        <w:rPr>
          <w:rFonts w:ascii="Garamond" w:hAnsi="Garamond"/>
          <w:sz w:val="20"/>
          <w:szCs w:val="20"/>
        </w:rPr>
        <w:t>Prof. Riccardo Vecchiato, Kingston University – UK</w:t>
      </w:r>
    </w:p>
    <w:p w14:paraId="49C6841B" w14:textId="1D277831" w:rsidR="00D76164" w:rsidRPr="00343BCC" w:rsidRDefault="00D76164" w:rsidP="00FD06E1">
      <w:pPr>
        <w:pStyle w:val="NormalWeb"/>
        <w:shd w:val="clear" w:color="auto" w:fill="FFFFFF"/>
        <w:spacing w:before="0" w:beforeAutospacing="0" w:after="0" w:afterAutospacing="0"/>
        <w:jc w:val="both"/>
        <w:rPr>
          <w:rFonts w:ascii="Garamond" w:hAnsi="Garamond"/>
          <w:sz w:val="20"/>
          <w:szCs w:val="20"/>
          <w:lang w:val="en-US"/>
        </w:rPr>
      </w:pPr>
      <w:r w:rsidRPr="00343BCC">
        <w:rPr>
          <w:rFonts w:ascii="Garamond" w:hAnsi="Garamond"/>
          <w:sz w:val="20"/>
          <w:szCs w:val="20"/>
          <w:lang w:val="en-US"/>
        </w:rPr>
        <w:t>––Prof. Sinéad Roden, Trinity College Dublin – Ireland</w:t>
      </w:r>
    </w:p>
    <w:p w14:paraId="5B967D58" w14:textId="77777777" w:rsidR="00D6111A" w:rsidRPr="00343BCC" w:rsidRDefault="00D6111A" w:rsidP="00FD06E1">
      <w:pPr>
        <w:pStyle w:val="NormalWeb"/>
        <w:shd w:val="clear" w:color="auto" w:fill="FFFFFF"/>
        <w:spacing w:before="0" w:beforeAutospacing="0" w:after="0" w:afterAutospacing="0"/>
        <w:jc w:val="both"/>
        <w:rPr>
          <w:rFonts w:ascii="Garamond" w:hAnsi="Garamond"/>
          <w:sz w:val="20"/>
          <w:szCs w:val="20"/>
          <w:lang w:val="en-US"/>
        </w:rPr>
      </w:pPr>
    </w:p>
    <w:p w14:paraId="261C93D5" w14:textId="0E466B4E" w:rsidR="00D76164" w:rsidRPr="00343BCC" w:rsidRDefault="00D6111A" w:rsidP="00343BCC">
      <w:pPr>
        <w:rPr>
          <w:rFonts w:ascii="Garamond" w:hAnsi="Garamond"/>
          <w:i/>
          <w:iCs/>
          <w:sz w:val="20"/>
          <w:szCs w:val="20"/>
          <w:lang w:val="en-US"/>
        </w:rPr>
      </w:pPr>
      <w:r w:rsidRPr="00343BCC">
        <w:rPr>
          <w:rFonts w:ascii="Garamond" w:hAnsi="Garamond"/>
          <w:sz w:val="20"/>
          <w:szCs w:val="20"/>
          <w:lang w:val="en-US"/>
        </w:rPr>
        <w:t>This special issue is in collaboration with the</w:t>
      </w:r>
      <w:r w:rsidR="00D76164" w:rsidRPr="00343BCC">
        <w:rPr>
          <w:rFonts w:ascii="Garamond" w:hAnsi="Garamond"/>
          <w:sz w:val="20"/>
          <w:szCs w:val="20"/>
          <w:lang w:val="en-US"/>
        </w:rPr>
        <w:t xml:space="preserve"> </w:t>
      </w:r>
      <w:hyperlink r:id="rId5" w:history="1">
        <w:r w:rsidR="00D76164" w:rsidRPr="00343BCC">
          <w:rPr>
            <w:rStyle w:val="Hyperlink"/>
            <w:rFonts w:ascii="Garamond" w:hAnsi="Garamond"/>
            <w:b/>
            <w:bCs/>
            <w:sz w:val="20"/>
            <w:szCs w:val="20"/>
            <w:lang w:val="en-US"/>
          </w:rPr>
          <w:t>2024 Innovation and Product Development Management Conference</w:t>
        </w:r>
      </w:hyperlink>
      <w:r w:rsidR="00D76164" w:rsidRPr="00343BCC">
        <w:rPr>
          <w:rFonts w:ascii="Garamond" w:hAnsi="Garamond"/>
          <w:sz w:val="20"/>
          <w:szCs w:val="20"/>
          <w:lang w:val="en-US"/>
        </w:rPr>
        <w:t xml:space="preserve"> </w:t>
      </w:r>
      <w:r w:rsidR="001F4523">
        <w:rPr>
          <w:rFonts w:ascii="Garamond" w:hAnsi="Garamond"/>
          <w:sz w:val="20"/>
          <w:szCs w:val="20"/>
          <w:lang w:val="en-US"/>
        </w:rPr>
        <w:t xml:space="preserve">held in </w:t>
      </w:r>
      <w:r w:rsidRPr="00343BCC">
        <w:rPr>
          <w:rFonts w:ascii="Garamond" w:hAnsi="Garamond"/>
          <w:sz w:val="20"/>
          <w:szCs w:val="20"/>
          <w:lang w:val="en-US"/>
        </w:rPr>
        <w:t>June 202</w:t>
      </w:r>
      <w:r w:rsidR="00D76164" w:rsidRPr="00343BCC">
        <w:rPr>
          <w:rFonts w:ascii="Garamond" w:hAnsi="Garamond"/>
          <w:sz w:val="20"/>
          <w:szCs w:val="20"/>
          <w:lang w:val="en-US"/>
        </w:rPr>
        <w:t>4</w:t>
      </w:r>
      <w:r w:rsidRPr="00343BCC">
        <w:rPr>
          <w:rFonts w:ascii="Garamond" w:hAnsi="Garamond"/>
          <w:sz w:val="20"/>
          <w:szCs w:val="20"/>
          <w:lang w:val="en-US"/>
        </w:rPr>
        <w:t xml:space="preserve"> in </w:t>
      </w:r>
      <w:r w:rsidR="00B250DE" w:rsidRPr="00343BCC">
        <w:rPr>
          <w:rFonts w:ascii="Garamond" w:hAnsi="Garamond"/>
          <w:sz w:val="20"/>
          <w:szCs w:val="20"/>
          <w:lang w:val="en-US"/>
        </w:rPr>
        <w:t>Dublin, Ireland</w:t>
      </w:r>
      <w:r w:rsidRPr="00343BCC">
        <w:rPr>
          <w:rFonts w:ascii="Garamond" w:hAnsi="Garamond"/>
          <w:sz w:val="20"/>
          <w:szCs w:val="20"/>
          <w:lang w:val="en-US"/>
        </w:rPr>
        <w:t xml:space="preserve">. </w:t>
      </w:r>
      <w:r w:rsidR="001F4523">
        <w:rPr>
          <w:rFonts w:ascii="Garamond" w:hAnsi="Garamond"/>
          <w:sz w:val="20"/>
          <w:szCs w:val="20"/>
          <w:lang w:val="en-US"/>
        </w:rPr>
        <w:t xml:space="preserve">Conference attendees and other authors are welcome to </w:t>
      </w:r>
      <w:r w:rsidRPr="00343BCC">
        <w:rPr>
          <w:rFonts w:ascii="Garamond" w:hAnsi="Garamond"/>
          <w:sz w:val="20"/>
          <w:szCs w:val="20"/>
          <w:lang w:val="en-US"/>
        </w:rPr>
        <w:t>submit</w:t>
      </w:r>
      <w:r w:rsidR="001F4523">
        <w:rPr>
          <w:rFonts w:ascii="Garamond" w:hAnsi="Garamond"/>
          <w:sz w:val="20"/>
          <w:szCs w:val="20"/>
          <w:lang w:val="en-US"/>
        </w:rPr>
        <w:t xml:space="preserve"> manuscripts that align with the special issue </w:t>
      </w:r>
      <w:r w:rsidRPr="00343BCC">
        <w:rPr>
          <w:rFonts w:ascii="Garamond" w:hAnsi="Garamond"/>
          <w:sz w:val="20"/>
          <w:szCs w:val="20"/>
          <w:lang w:val="en-US"/>
        </w:rPr>
        <w:t xml:space="preserve">to </w:t>
      </w:r>
      <w:r w:rsidRPr="00343BCC">
        <w:rPr>
          <w:rFonts w:ascii="Garamond" w:hAnsi="Garamond"/>
          <w:i/>
          <w:iCs/>
          <w:sz w:val="20"/>
          <w:szCs w:val="20"/>
          <w:lang w:val="en-US"/>
        </w:rPr>
        <w:t xml:space="preserve">RTM. </w:t>
      </w:r>
    </w:p>
    <w:p w14:paraId="4E19BA3D" w14:textId="77777777" w:rsidR="003A3129" w:rsidRPr="00343BCC" w:rsidRDefault="003A3129" w:rsidP="003A3129">
      <w:pPr>
        <w:rPr>
          <w:rFonts w:ascii="Garamond" w:hAnsi="Garamond"/>
          <w:sz w:val="20"/>
          <w:szCs w:val="20"/>
          <w:lang w:val="en-US"/>
        </w:rPr>
      </w:pPr>
    </w:p>
    <w:tbl>
      <w:tblPr>
        <w:tblStyle w:val="TableGrid"/>
        <w:tblW w:w="9634" w:type="dxa"/>
        <w:tblLook w:val="04A0" w:firstRow="1" w:lastRow="0" w:firstColumn="1" w:lastColumn="0" w:noHBand="0" w:noVBand="1"/>
      </w:tblPr>
      <w:tblGrid>
        <w:gridCol w:w="4817"/>
        <w:gridCol w:w="4817"/>
      </w:tblGrid>
      <w:tr w:rsidR="003A3129" w:rsidRPr="00343BCC" w14:paraId="77905CDB" w14:textId="77777777" w:rsidTr="00FE6D86">
        <w:tc>
          <w:tcPr>
            <w:tcW w:w="4817" w:type="dxa"/>
          </w:tcPr>
          <w:p w14:paraId="4C0A941F" w14:textId="2AF9950B" w:rsidR="003A3129" w:rsidRPr="00343BCC" w:rsidRDefault="003A3129" w:rsidP="00807DE7">
            <w:pPr>
              <w:pStyle w:val="NormalWeb"/>
              <w:spacing w:before="0" w:beforeAutospacing="0" w:after="0" w:afterAutospacing="0"/>
              <w:rPr>
                <w:rFonts w:ascii="Garamond" w:hAnsi="Garamond"/>
                <w:b/>
                <w:bCs/>
                <w:sz w:val="20"/>
                <w:szCs w:val="20"/>
              </w:rPr>
            </w:pPr>
            <w:r w:rsidRPr="00343BCC">
              <w:rPr>
                <w:rFonts w:ascii="Garamond" w:hAnsi="Garamond"/>
                <w:b/>
                <w:bCs/>
                <w:sz w:val="20"/>
                <w:szCs w:val="20"/>
              </w:rPr>
              <w:t xml:space="preserve">To </w:t>
            </w:r>
            <w:hyperlink r:id="rId6" w:history="1">
              <w:r w:rsidRPr="00343BCC">
                <w:rPr>
                  <w:rStyle w:val="Hyperlink"/>
                  <w:rFonts w:ascii="Garamond" w:hAnsi="Garamond"/>
                  <w:b/>
                  <w:bCs/>
                  <w:sz w:val="20"/>
                  <w:szCs w:val="20"/>
                </w:rPr>
                <w:t>IPDMC</w:t>
              </w:r>
            </w:hyperlink>
          </w:p>
        </w:tc>
        <w:tc>
          <w:tcPr>
            <w:tcW w:w="4817" w:type="dxa"/>
          </w:tcPr>
          <w:p w14:paraId="4CE13A8F" w14:textId="6E494F1C" w:rsidR="003A3129" w:rsidRPr="00343BCC" w:rsidRDefault="003A3129" w:rsidP="00807DE7">
            <w:pPr>
              <w:pStyle w:val="NormalWeb"/>
              <w:spacing w:before="0" w:beforeAutospacing="0" w:after="0" w:afterAutospacing="0"/>
              <w:rPr>
                <w:rFonts w:ascii="Garamond" w:hAnsi="Garamond"/>
                <w:b/>
                <w:bCs/>
                <w:sz w:val="20"/>
                <w:szCs w:val="20"/>
              </w:rPr>
            </w:pPr>
            <w:r w:rsidRPr="00343BCC">
              <w:rPr>
                <w:rFonts w:ascii="Garamond" w:hAnsi="Garamond"/>
                <w:b/>
                <w:bCs/>
                <w:sz w:val="20"/>
                <w:szCs w:val="20"/>
              </w:rPr>
              <w:t xml:space="preserve">Directly to </w:t>
            </w:r>
            <w:hyperlink r:id="rId7" w:history="1">
              <w:r w:rsidRPr="00343BCC">
                <w:rPr>
                  <w:rStyle w:val="Hyperlink"/>
                  <w:rFonts w:ascii="Garamond" w:hAnsi="Garamond"/>
                  <w:b/>
                  <w:bCs/>
                  <w:sz w:val="20"/>
                  <w:szCs w:val="20"/>
                </w:rPr>
                <w:t>RTM</w:t>
              </w:r>
            </w:hyperlink>
            <w:r w:rsidR="00343BCC" w:rsidRPr="003B0CD9">
              <w:rPr>
                <w:rStyle w:val="Hyperlink"/>
                <w:rFonts w:ascii="Garamond" w:hAnsi="Garamond"/>
                <w:b/>
                <w:bCs/>
                <w:color w:val="auto"/>
                <w:sz w:val="20"/>
                <w:szCs w:val="20"/>
                <w:u w:val="none"/>
              </w:rPr>
              <w:t>*</w:t>
            </w:r>
          </w:p>
        </w:tc>
      </w:tr>
      <w:tr w:rsidR="003A3129" w:rsidRPr="003B0CD9" w14:paraId="603ED908" w14:textId="77777777" w:rsidTr="00FE6D86">
        <w:tc>
          <w:tcPr>
            <w:tcW w:w="4817" w:type="dxa"/>
          </w:tcPr>
          <w:p w14:paraId="5D99AA80" w14:textId="29EB96DF" w:rsidR="003A3129" w:rsidRPr="00343BCC" w:rsidRDefault="003A3129" w:rsidP="00807DE7">
            <w:pPr>
              <w:pStyle w:val="NormalWeb"/>
              <w:spacing w:before="0" w:beforeAutospacing="0" w:after="0" w:afterAutospacing="0"/>
              <w:rPr>
                <w:rFonts w:ascii="Garamond" w:hAnsi="Garamond"/>
                <w:color w:val="FF0000"/>
                <w:sz w:val="20"/>
                <w:szCs w:val="20"/>
              </w:rPr>
            </w:pPr>
            <w:r w:rsidRPr="00343BCC">
              <w:rPr>
                <w:rFonts w:ascii="Garamond" w:hAnsi="Garamond"/>
                <w:b/>
                <w:bCs/>
                <w:sz w:val="20"/>
                <w:szCs w:val="20"/>
              </w:rPr>
              <w:t>Full Paper Submission Deadline:</w:t>
            </w:r>
            <w:r w:rsidR="00AC0C17" w:rsidRPr="00343BCC">
              <w:rPr>
                <w:rFonts w:ascii="Garamond" w:hAnsi="Garamond"/>
                <w:b/>
                <w:bCs/>
                <w:sz w:val="20"/>
                <w:szCs w:val="20"/>
              </w:rPr>
              <w:t xml:space="preserve"> </w:t>
            </w:r>
            <w:r w:rsidR="00AC0C17" w:rsidRPr="00343BCC">
              <w:rPr>
                <w:rFonts w:ascii="Garamond" w:hAnsi="Garamond" w:cs="Arial"/>
                <w:color w:val="FF0000"/>
                <w:sz w:val="20"/>
                <w:szCs w:val="20"/>
              </w:rPr>
              <w:t xml:space="preserve">September </w:t>
            </w:r>
            <w:r w:rsidR="001F4523">
              <w:rPr>
                <w:rFonts w:ascii="Garamond" w:hAnsi="Garamond" w:cs="Arial"/>
                <w:color w:val="FF0000"/>
                <w:sz w:val="20"/>
                <w:szCs w:val="20"/>
              </w:rPr>
              <w:t>30</w:t>
            </w:r>
            <w:r w:rsidR="00AC0C17" w:rsidRPr="00343BCC">
              <w:rPr>
                <w:rFonts w:ascii="Garamond" w:hAnsi="Garamond" w:cs="Arial"/>
                <w:color w:val="FF0000"/>
                <w:sz w:val="20"/>
                <w:szCs w:val="20"/>
              </w:rPr>
              <w:t>, 2024</w:t>
            </w:r>
          </w:p>
          <w:p w14:paraId="06BB28B1" w14:textId="4A0D0C79" w:rsidR="001F4523" w:rsidRPr="001F4523" w:rsidRDefault="001F4523" w:rsidP="001F4523">
            <w:pPr>
              <w:pStyle w:val="NormalWeb"/>
              <w:shd w:val="clear" w:color="auto" w:fill="FFFFFF"/>
              <w:spacing w:before="0" w:beforeAutospacing="0" w:after="0" w:afterAutospacing="0"/>
              <w:rPr>
                <w:rFonts w:ascii="Garamond" w:hAnsi="Garamond"/>
                <w:sz w:val="20"/>
                <w:szCs w:val="20"/>
              </w:rPr>
            </w:pPr>
            <w:r w:rsidRPr="00343BCC">
              <w:rPr>
                <w:rFonts w:ascii="Garamond" w:hAnsi="Garamond"/>
                <w:b/>
                <w:bCs/>
                <w:sz w:val="20"/>
                <w:szCs w:val="20"/>
              </w:rPr>
              <w:t>Peer Review:</w:t>
            </w:r>
            <w:r w:rsidRPr="00343BCC">
              <w:rPr>
                <w:rFonts w:ascii="Garamond" w:hAnsi="Garamond"/>
                <w:sz w:val="20"/>
                <w:szCs w:val="20"/>
              </w:rPr>
              <w:t xml:space="preserve"> </w:t>
            </w:r>
            <w:r w:rsidRPr="00343BCC">
              <w:rPr>
                <w:rFonts w:ascii="Garamond" w:hAnsi="Garamond"/>
                <w:color w:val="4472C4" w:themeColor="accent1"/>
                <w:sz w:val="20"/>
                <w:szCs w:val="20"/>
              </w:rPr>
              <w:t>September</w:t>
            </w:r>
            <w:r w:rsidRPr="00343BCC">
              <w:rPr>
                <w:rFonts w:ascii="Garamond" w:hAnsi="Garamond" w:cs="Arial"/>
                <w:color w:val="4472C4" w:themeColor="accent1"/>
                <w:sz w:val="20"/>
                <w:szCs w:val="20"/>
              </w:rPr>
              <w:t xml:space="preserve"> 15–November 30, 2024</w:t>
            </w:r>
          </w:p>
          <w:p w14:paraId="6B2EDE6B" w14:textId="66347D63" w:rsidR="003A3129" w:rsidRPr="00343BCC" w:rsidRDefault="003A3129" w:rsidP="00807DE7">
            <w:pPr>
              <w:pStyle w:val="NormalWeb"/>
              <w:spacing w:before="0" w:beforeAutospacing="0" w:after="0" w:afterAutospacing="0"/>
              <w:rPr>
                <w:rFonts w:ascii="Garamond" w:hAnsi="Garamond"/>
                <w:sz w:val="20"/>
                <w:szCs w:val="20"/>
              </w:rPr>
            </w:pPr>
            <w:r w:rsidRPr="00343BCC">
              <w:rPr>
                <w:rFonts w:ascii="Garamond" w:hAnsi="Garamond"/>
                <w:b/>
                <w:bCs/>
                <w:sz w:val="20"/>
                <w:szCs w:val="20"/>
              </w:rPr>
              <w:t>Publication Issue:</w:t>
            </w:r>
            <w:r w:rsidR="00AC0C17" w:rsidRPr="00343BCC">
              <w:rPr>
                <w:rFonts w:ascii="Garamond" w:hAnsi="Garamond"/>
                <w:b/>
                <w:bCs/>
                <w:sz w:val="20"/>
                <w:szCs w:val="20"/>
              </w:rPr>
              <w:t xml:space="preserve"> </w:t>
            </w:r>
            <w:r w:rsidR="00BE3CD2">
              <w:rPr>
                <w:rFonts w:ascii="Garamond" w:hAnsi="Garamond"/>
                <w:color w:val="00B050"/>
                <w:sz w:val="20"/>
                <w:szCs w:val="20"/>
              </w:rPr>
              <w:t>Nov</w:t>
            </w:r>
            <w:r w:rsidR="00BE3CD2" w:rsidRPr="00EC0B06">
              <w:rPr>
                <w:rFonts w:ascii="Garamond" w:hAnsi="Garamond"/>
                <w:color w:val="00B050"/>
                <w:sz w:val="20"/>
                <w:szCs w:val="20"/>
              </w:rPr>
              <w:t>–</w:t>
            </w:r>
            <w:r w:rsidR="00BE3CD2">
              <w:rPr>
                <w:rFonts w:ascii="Garamond" w:hAnsi="Garamond"/>
                <w:color w:val="00B050"/>
                <w:sz w:val="20"/>
                <w:szCs w:val="20"/>
              </w:rPr>
              <w:t>Dec</w:t>
            </w:r>
            <w:r w:rsidR="00BE3CD2" w:rsidRPr="00EC0B06">
              <w:rPr>
                <w:rFonts w:ascii="Garamond" w:hAnsi="Garamond"/>
                <w:color w:val="00B050"/>
                <w:sz w:val="20"/>
                <w:szCs w:val="20"/>
              </w:rPr>
              <w:t xml:space="preserve"> 2025</w:t>
            </w:r>
          </w:p>
        </w:tc>
        <w:tc>
          <w:tcPr>
            <w:tcW w:w="4817" w:type="dxa"/>
          </w:tcPr>
          <w:p w14:paraId="00179A9F" w14:textId="68173E6B" w:rsidR="003A3129" w:rsidRPr="00343BCC" w:rsidRDefault="003A3129" w:rsidP="00807DE7">
            <w:pPr>
              <w:pStyle w:val="NormalWeb"/>
              <w:shd w:val="clear" w:color="auto" w:fill="FFFFFF"/>
              <w:spacing w:before="0" w:beforeAutospacing="0" w:after="0" w:afterAutospacing="0"/>
              <w:rPr>
                <w:rFonts w:ascii="Garamond" w:hAnsi="Garamond"/>
                <w:sz w:val="20"/>
                <w:szCs w:val="20"/>
              </w:rPr>
            </w:pPr>
            <w:r w:rsidRPr="00343BCC">
              <w:rPr>
                <w:rFonts w:ascii="Garamond" w:hAnsi="Garamond"/>
                <w:b/>
                <w:bCs/>
                <w:sz w:val="20"/>
                <w:szCs w:val="20"/>
              </w:rPr>
              <w:t>Submission Deadline:</w:t>
            </w:r>
            <w:r w:rsidRPr="00343BCC">
              <w:rPr>
                <w:rFonts w:ascii="Garamond" w:hAnsi="Garamond"/>
                <w:sz w:val="20"/>
                <w:szCs w:val="20"/>
              </w:rPr>
              <w:t xml:space="preserve"> </w:t>
            </w:r>
            <w:r w:rsidR="00AC0C17" w:rsidRPr="00343BCC">
              <w:rPr>
                <w:rFonts w:ascii="Garamond" w:hAnsi="Garamond" w:cs="Arial"/>
                <w:color w:val="FF0000"/>
                <w:sz w:val="20"/>
                <w:szCs w:val="20"/>
              </w:rPr>
              <w:t xml:space="preserve">September </w:t>
            </w:r>
            <w:r w:rsidR="001F4523">
              <w:rPr>
                <w:rFonts w:ascii="Garamond" w:hAnsi="Garamond" w:cs="Arial"/>
                <w:color w:val="FF0000"/>
                <w:sz w:val="20"/>
                <w:szCs w:val="20"/>
              </w:rPr>
              <w:t>30</w:t>
            </w:r>
            <w:r w:rsidR="00AC0C17" w:rsidRPr="00343BCC">
              <w:rPr>
                <w:rFonts w:ascii="Garamond" w:hAnsi="Garamond" w:cs="Arial"/>
                <w:color w:val="FF0000"/>
                <w:sz w:val="20"/>
                <w:szCs w:val="20"/>
              </w:rPr>
              <w:t>, 2024</w:t>
            </w:r>
          </w:p>
          <w:p w14:paraId="24938108" w14:textId="665ADBF6" w:rsidR="003A3129" w:rsidRPr="00343BCC" w:rsidRDefault="003A3129" w:rsidP="00807DE7">
            <w:pPr>
              <w:pStyle w:val="NormalWeb"/>
              <w:shd w:val="clear" w:color="auto" w:fill="FFFFFF"/>
              <w:spacing w:before="0" w:beforeAutospacing="0" w:after="0" w:afterAutospacing="0"/>
              <w:rPr>
                <w:rFonts w:ascii="Garamond" w:hAnsi="Garamond"/>
                <w:sz w:val="20"/>
                <w:szCs w:val="20"/>
              </w:rPr>
            </w:pPr>
            <w:r w:rsidRPr="00343BCC">
              <w:rPr>
                <w:rFonts w:ascii="Garamond" w:hAnsi="Garamond"/>
                <w:b/>
                <w:bCs/>
                <w:sz w:val="20"/>
                <w:szCs w:val="20"/>
              </w:rPr>
              <w:t>Peer Review:</w:t>
            </w:r>
            <w:r w:rsidRPr="00343BCC">
              <w:rPr>
                <w:rFonts w:ascii="Garamond" w:hAnsi="Garamond"/>
                <w:sz w:val="20"/>
                <w:szCs w:val="20"/>
              </w:rPr>
              <w:t xml:space="preserve"> </w:t>
            </w:r>
            <w:r w:rsidR="00AC0C17" w:rsidRPr="00343BCC">
              <w:rPr>
                <w:rFonts w:ascii="Garamond" w:hAnsi="Garamond"/>
                <w:color w:val="4472C4" w:themeColor="accent1"/>
                <w:sz w:val="20"/>
                <w:szCs w:val="20"/>
              </w:rPr>
              <w:t>September</w:t>
            </w:r>
            <w:r w:rsidR="00AC0C17" w:rsidRPr="00343BCC">
              <w:rPr>
                <w:rFonts w:ascii="Garamond" w:hAnsi="Garamond" w:cs="Arial"/>
                <w:color w:val="4472C4" w:themeColor="accent1"/>
                <w:sz w:val="20"/>
                <w:szCs w:val="20"/>
              </w:rPr>
              <w:t xml:space="preserve"> 15–November 30, 2024</w:t>
            </w:r>
          </w:p>
          <w:p w14:paraId="6E10C70F" w14:textId="77777777" w:rsidR="00343BCC" w:rsidRDefault="003A3129" w:rsidP="001F4523">
            <w:pPr>
              <w:pStyle w:val="NormalWeb"/>
              <w:shd w:val="clear" w:color="auto" w:fill="FFFFFF"/>
              <w:spacing w:before="0" w:beforeAutospacing="0" w:after="0" w:afterAutospacing="0"/>
              <w:rPr>
                <w:rFonts w:ascii="Garamond" w:hAnsi="Garamond"/>
                <w:color w:val="00B050"/>
                <w:sz w:val="20"/>
                <w:szCs w:val="20"/>
              </w:rPr>
            </w:pPr>
            <w:r w:rsidRPr="00343BCC">
              <w:rPr>
                <w:rFonts w:ascii="Garamond" w:hAnsi="Garamond"/>
                <w:b/>
                <w:bCs/>
                <w:sz w:val="20"/>
                <w:szCs w:val="20"/>
              </w:rPr>
              <w:t>Publication Issue:</w:t>
            </w:r>
            <w:r w:rsidRPr="00343BCC">
              <w:rPr>
                <w:rFonts w:ascii="Garamond" w:hAnsi="Garamond"/>
                <w:sz w:val="20"/>
                <w:szCs w:val="20"/>
              </w:rPr>
              <w:t xml:space="preserve"> </w:t>
            </w:r>
            <w:r w:rsidR="00BE3CD2">
              <w:rPr>
                <w:rFonts w:ascii="Garamond" w:hAnsi="Garamond"/>
                <w:color w:val="00B050"/>
                <w:sz w:val="20"/>
                <w:szCs w:val="20"/>
              </w:rPr>
              <w:t>Nov</w:t>
            </w:r>
            <w:r w:rsidR="00AC0C17" w:rsidRPr="00EC0B06">
              <w:rPr>
                <w:rFonts w:ascii="Garamond" w:hAnsi="Garamond"/>
                <w:color w:val="00B050"/>
                <w:sz w:val="20"/>
                <w:szCs w:val="20"/>
              </w:rPr>
              <w:t>–</w:t>
            </w:r>
            <w:r w:rsidR="00BE3CD2">
              <w:rPr>
                <w:rFonts w:ascii="Garamond" w:hAnsi="Garamond"/>
                <w:color w:val="00B050"/>
                <w:sz w:val="20"/>
                <w:szCs w:val="20"/>
              </w:rPr>
              <w:t>Dec</w:t>
            </w:r>
            <w:r w:rsidR="00AC0C17" w:rsidRPr="00EC0B06">
              <w:rPr>
                <w:rFonts w:ascii="Garamond" w:hAnsi="Garamond"/>
                <w:color w:val="00B050"/>
                <w:sz w:val="20"/>
                <w:szCs w:val="20"/>
              </w:rPr>
              <w:t xml:space="preserve"> 2025</w:t>
            </w:r>
          </w:p>
          <w:p w14:paraId="49C9DD62" w14:textId="34509648" w:rsidR="001F4523" w:rsidRPr="00343BCC" w:rsidRDefault="001F4523" w:rsidP="001F4523">
            <w:pPr>
              <w:pStyle w:val="NormalWeb"/>
              <w:shd w:val="clear" w:color="auto" w:fill="FFFFFF"/>
              <w:spacing w:before="0" w:beforeAutospacing="0" w:after="0" w:afterAutospacing="0"/>
              <w:rPr>
                <w:rFonts w:ascii="Garamond" w:hAnsi="Garamond"/>
                <w:sz w:val="20"/>
                <w:szCs w:val="20"/>
              </w:rPr>
            </w:pPr>
          </w:p>
        </w:tc>
      </w:tr>
      <w:tr w:rsidR="001F4523" w:rsidRPr="003B0CD9" w14:paraId="76FCE6E5" w14:textId="77777777" w:rsidTr="00323898">
        <w:tc>
          <w:tcPr>
            <w:tcW w:w="9634" w:type="dxa"/>
            <w:gridSpan w:val="2"/>
          </w:tcPr>
          <w:p w14:paraId="71A235F5" w14:textId="2DA6BB8F" w:rsidR="001F4523" w:rsidRPr="001F4523" w:rsidRDefault="001F4523" w:rsidP="001F4523">
            <w:pPr>
              <w:rPr>
                <w:rFonts w:ascii="Garamond" w:eastAsia="Times New Roman" w:hAnsi="Garamond" w:cs="Times New Roman"/>
                <w:sz w:val="20"/>
                <w:szCs w:val="20"/>
                <w:lang w:eastAsia="it-IT"/>
              </w:rPr>
            </w:pPr>
            <w:r w:rsidRPr="003B0CD9">
              <w:rPr>
                <w:rFonts w:ascii="Garamond" w:hAnsi="Garamond"/>
                <w:sz w:val="20"/>
                <w:szCs w:val="20"/>
              </w:rPr>
              <w:t>*</w:t>
            </w:r>
            <w:r w:rsidRPr="003B0CD9">
              <w:rPr>
                <w:rFonts w:ascii="Garamond" w:eastAsia="Times New Roman" w:hAnsi="Garamond" w:cs="Times New Roman"/>
                <w:i/>
                <w:iCs/>
                <w:sz w:val="20"/>
                <w:szCs w:val="20"/>
                <w:lang w:eastAsia="it-IT"/>
              </w:rPr>
              <w:t xml:space="preserve"> </w:t>
            </w:r>
            <w:r w:rsidRPr="00343BCC">
              <w:rPr>
                <w:rFonts w:ascii="Garamond" w:eastAsia="Times New Roman" w:hAnsi="Garamond" w:cs="Times New Roman"/>
                <w:i/>
                <w:iCs/>
                <w:sz w:val="20"/>
                <w:szCs w:val="20"/>
                <w:lang w:eastAsia="it-IT"/>
              </w:rPr>
              <w:t>RTM</w:t>
            </w:r>
            <w:r w:rsidRPr="00343BCC">
              <w:rPr>
                <w:rFonts w:ascii="Garamond" w:eastAsia="Times New Roman" w:hAnsi="Garamond" w:cs="Times New Roman"/>
                <w:sz w:val="20"/>
                <w:szCs w:val="20"/>
                <w:lang w:eastAsia="it-IT"/>
              </w:rPr>
              <w:t xml:space="preserve"> also welcomes special issue submissions from authors not involved with IPDMC.</w:t>
            </w:r>
          </w:p>
        </w:tc>
      </w:tr>
    </w:tbl>
    <w:p w14:paraId="4D6BBADF" w14:textId="77777777" w:rsidR="00D6111A" w:rsidRPr="00343BCC" w:rsidRDefault="00D6111A" w:rsidP="00FD06E1">
      <w:pPr>
        <w:pStyle w:val="NormalWeb"/>
        <w:shd w:val="clear" w:color="auto" w:fill="FFFFFF"/>
        <w:spacing w:before="0" w:beforeAutospacing="0" w:after="0" w:afterAutospacing="0"/>
        <w:jc w:val="both"/>
        <w:rPr>
          <w:rFonts w:ascii="Garamond" w:hAnsi="Garamond"/>
          <w:b/>
          <w:bCs/>
          <w:sz w:val="20"/>
          <w:szCs w:val="20"/>
          <w:lang w:val="en-US"/>
        </w:rPr>
      </w:pPr>
    </w:p>
    <w:p w14:paraId="6629E00A" w14:textId="7D9E1279" w:rsidR="00DC53CD" w:rsidRPr="00343BCC" w:rsidRDefault="00DC53CD" w:rsidP="00643DD2">
      <w:p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 xml:space="preserve">Given the increasing volatility, uncertainty, complexity, and ambiguity (VUCA) of the economy and society, scholars and practitioners delving into innovative approaches for steering the future from a human-centered standpoint. As the challenges of innovation grow more intricate, organizations need to develop their future-oriented thinking </w:t>
      </w:r>
      <w:r w:rsidR="00FD06E1" w:rsidRPr="00343BCC">
        <w:rPr>
          <w:rFonts w:ascii="Garamond" w:eastAsia="Times New Roman" w:hAnsi="Garamond" w:cs="Times New Roman"/>
          <w:kern w:val="0"/>
          <w:sz w:val="20"/>
          <w:szCs w:val="20"/>
          <w:lang w:val="en-US" w:eastAsia="it-IT"/>
          <w14:ligatures w14:val="none"/>
        </w:rPr>
        <w:t xml:space="preserve">and </w:t>
      </w:r>
      <w:r w:rsidRPr="00343BCC">
        <w:rPr>
          <w:rFonts w:ascii="Garamond" w:eastAsia="Times New Roman" w:hAnsi="Garamond" w:cs="Times New Roman"/>
          <w:kern w:val="0"/>
          <w:sz w:val="20"/>
          <w:szCs w:val="20"/>
          <w:lang w:val="en-US" w:eastAsia="it-IT"/>
          <w14:ligatures w14:val="none"/>
        </w:rPr>
        <w:t>foresight skills. Th</w:t>
      </w:r>
      <w:r w:rsidR="00643DD2">
        <w:rPr>
          <w:rFonts w:ascii="Garamond" w:eastAsia="Times New Roman" w:hAnsi="Garamond" w:cs="Times New Roman"/>
          <w:kern w:val="0"/>
          <w:sz w:val="20"/>
          <w:szCs w:val="20"/>
          <w:lang w:val="en-US" w:eastAsia="it-IT"/>
          <w14:ligatures w14:val="none"/>
        </w:rPr>
        <w:t xml:space="preserve">is </w:t>
      </w:r>
      <w:r w:rsidRPr="00343BCC">
        <w:rPr>
          <w:rFonts w:ascii="Garamond" w:eastAsia="Times New Roman" w:hAnsi="Garamond" w:cs="Times New Roman"/>
          <w:kern w:val="0"/>
          <w:sz w:val="20"/>
          <w:szCs w:val="20"/>
          <w:lang w:val="en-US" w:eastAsia="it-IT"/>
          <w14:ligatures w14:val="none"/>
        </w:rPr>
        <w:t xml:space="preserve">goes beyond merely predicting customers’ changing needs—it entails proactively developing strategies to attain favorable outcomes for both individuals and society. </w:t>
      </w:r>
      <w:r w:rsidR="00223D25" w:rsidRPr="00343BCC">
        <w:rPr>
          <w:rFonts w:ascii="Garamond" w:eastAsia="Times New Roman" w:hAnsi="Garamond" w:cs="Times New Roman"/>
          <w:kern w:val="0"/>
          <w:sz w:val="20"/>
          <w:szCs w:val="20"/>
          <w:lang w:val="en-US" w:eastAsia="it-IT"/>
          <w14:ligatures w14:val="none"/>
        </w:rPr>
        <w:t>Researchers</w:t>
      </w:r>
      <w:r w:rsidRPr="00343BCC">
        <w:rPr>
          <w:rFonts w:ascii="Garamond" w:eastAsia="Times New Roman" w:hAnsi="Garamond" w:cs="Times New Roman"/>
          <w:kern w:val="0"/>
          <w:sz w:val="20"/>
          <w:szCs w:val="20"/>
          <w:lang w:val="en-US" w:eastAsia="it-IT"/>
          <w14:ligatures w14:val="none"/>
        </w:rPr>
        <w:t xml:space="preserve"> advocate for the construction of theories grounded in </w:t>
      </w:r>
      <w:r w:rsidR="00034A1A" w:rsidRPr="00343BCC">
        <w:rPr>
          <w:rFonts w:ascii="Garamond" w:eastAsia="Times New Roman" w:hAnsi="Garamond" w:cs="Times New Roman"/>
          <w:kern w:val="0"/>
          <w:sz w:val="20"/>
          <w:szCs w:val="20"/>
          <w:lang w:val="en-US" w:eastAsia="it-IT"/>
          <w14:ligatures w14:val="none"/>
        </w:rPr>
        <w:t>“</w:t>
      </w:r>
      <w:r w:rsidRPr="00343BCC">
        <w:rPr>
          <w:rFonts w:ascii="Garamond" w:eastAsia="Times New Roman" w:hAnsi="Garamond" w:cs="Times New Roman"/>
          <w:kern w:val="0"/>
          <w:sz w:val="20"/>
          <w:szCs w:val="20"/>
          <w:lang w:val="en-US" w:eastAsia="it-IT"/>
          <w14:ligatures w14:val="none"/>
        </w:rPr>
        <w:t>acts of disciplined imagination</w:t>
      </w:r>
      <w:r w:rsidR="00034A1A" w:rsidRPr="00343BCC">
        <w:rPr>
          <w:rFonts w:ascii="Garamond" w:eastAsia="Times New Roman" w:hAnsi="Garamond" w:cs="Times New Roman"/>
          <w:kern w:val="0"/>
          <w:sz w:val="20"/>
          <w:szCs w:val="20"/>
          <w:lang w:val="en-US" w:eastAsia="it-IT"/>
          <w14:ligatures w14:val="none"/>
        </w:rPr>
        <w:t>”</w:t>
      </w:r>
      <w:r w:rsidRPr="00343BCC">
        <w:rPr>
          <w:rFonts w:ascii="Garamond" w:eastAsia="Times New Roman" w:hAnsi="Garamond" w:cs="Times New Roman"/>
          <w:kern w:val="0"/>
          <w:sz w:val="20"/>
          <w:szCs w:val="20"/>
          <w:lang w:val="en-US" w:eastAsia="it-IT"/>
          <w14:ligatures w14:val="none"/>
        </w:rPr>
        <w:t xml:space="preserve"> to envision not only likely and possible, but also desirable futures.</w:t>
      </w:r>
    </w:p>
    <w:p w14:paraId="6F84C0AA" w14:textId="77777777" w:rsidR="00DC53CD" w:rsidRPr="00343BCC" w:rsidRDefault="00DC53CD" w:rsidP="00FD06E1">
      <w:pPr>
        <w:jc w:val="both"/>
        <w:rPr>
          <w:rFonts w:ascii="Garamond" w:eastAsia="Times New Roman" w:hAnsi="Garamond" w:cs="Times New Roman"/>
          <w:kern w:val="0"/>
          <w:sz w:val="20"/>
          <w:szCs w:val="20"/>
          <w:lang w:val="en-US" w:eastAsia="it-IT"/>
          <w14:ligatures w14:val="none"/>
        </w:rPr>
      </w:pPr>
    </w:p>
    <w:p w14:paraId="52E01C36" w14:textId="6B00404D" w:rsidR="00DC53CD" w:rsidRPr="00343BCC" w:rsidRDefault="00034A1A" w:rsidP="00343BCC">
      <w:p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M</w:t>
      </w:r>
      <w:r w:rsidR="00DC53CD" w:rsidRPr="00343BCC">
        <w:rPr>
          <w:rFonts w:ascii="Garamond" w:eastAsia="Times New Roman" w:hAnsi="Garamond" w:cs="Times New Roman"/>
          <w:kern w:val="0"/>
          <w:sz w:val="20"/>
          <w:szCs w:val="20"/>
          <w:lang w:val="en-US" w:eastAsia="it-IT"/>
          <w14:ligatures w14:val="none"/>
        </w:rPr>
        <w:t>any organizations embed future thinking to support their innovation operations and improve their long-term performance. The term “</w:t>
      </w:r>
      <w:r w:rsidRPr="00343BCC">
        <w:rPr>
          <w:rFonts w:ascii="Garamond" w:eastAsia="Times New Roman" w:hAnsi="Garamond" w:cs="Times New Roman"/>
          <w:kern w:val="0"/>
          <w:sz w:val="20"/>
          <w:szCs w:val="20"/>
          <w:lang w:val="en-US" w:eastAsia="it-IT"/>
          <w14:ligatures w14:val="none"/>
        </w:rPr>
        <w:t>foresight</w:t>
      </w:r>
      <w:r w:rsidR="00DC53CD" w:rsidRPr="00343BCC">
        <w:rPr>
          <w:rFonts w:ascii="Garamond" w:eastAsia="Times New Roman" w:hAnsi="Garamond" w:cs="Times New Roman"/>
          <w:kern w:val="0"/>
          <w:sz w:val="20"/>
          <w:szCs w:val="20"/>
          <w:lang w:val="en-US" w:eastAsia="it-IT"/>
          <w14:ligatures w14:val="none"/>
        </w:rPr>
        <w:t>” encompass</w:t>
      </w:r>
      <w:r w:rsidRPr="00343BCC">
        <w:rPr>
          <w:rFonts w:ascii="Garamond" w:eastAsia="Times New Roman" w:hAnsi="Garamond" w:cs="Times New Roman"/>
          <w:kern w:val="0"/>
          <w:sz w:val="20"/>
          <w:szCs w:val="20"/>
          <w:lang w:val="en-US" w:eastAsia="it-IT"/>
          <w14:ligatures w14:val="none"/>
        </w:rPr>
        <w:t>es</w:t>
      </w:r>
      <w:r w:rsidR="00DC53CD" w:rsidRPr="00343BCC">
        <w:rPr>
          <w:rFonts w:ascii="Garamond" w:eastAsia="Times New Roman" w:hAnsi="Garamond" w:cs="Times New Roman"/>
          <w:kern w:val="0"/>
          <w:sz w:val="20"/>
          <w:szCs w:val="20"/>
          <w:lang w:val="en-US" w:eastAsia="it-IT"/>
          <w14:ligatures w14:val="none"/>
        </w:rPr>
        <w:t xml:space="preserve"> a wide range of practices that managers can use to enhance their ability to detect new events and trends early, to explore their future evolution and effects, and to design the most effective response options. Recent research reports the need for a design-driven and practice-based view over the construction of the future</w:t>
      </w:r>
      <w:r w:rsidR="00343BCC">
        <w:rPr>
          <w:rFonts w:ascii="Garamond" w:eastAsia="Times New Roman" w:hAnsi="Garamond" w:cs="Times New Roman"/>
          <w:kern w:val="0"/>
          <w:sz w:val="20"/>
          <w:szCs w:val="20"/>
          <w:lang w:val="en-US" w:eastAsia="it-IT"/>
          <w14:ligatures w14:val="none"/>
        </w:rPr>
        <w:t>.</w:t>
      </w:r>
      <w:r w:rsidR="00DC53CD" w:rsidRPr="00343BCC">
        <w:rPr>
          <w:rFonts w:ascii="Garamond" w:eastAsia="Times New Roman" w:hAnsi="Garamond" w:cs="Times New Roman"/>
          <w:kern w:val="0"/>
          <w:sz w:val="20"/>
          <w:szCs w:val="20"/>
          <w:lang w:val="en-US" w:eastAsia="it-IT"/>
          <w14:ligatures w14:val="none"/>
        </w:rPr>
        <w:t xml:space="preserve"> </w:t>
      </w:r>
      <w:r w:rsidRPr="00343BCC">
        <w:rPr>
          <w:rFonts w:ascii="Garamond" w:eastAsia="Times New Roman" w:hAnsi="Garamond" w:cs="Times New Roman"/>
          <w:kern w:val="0"/>
          <w:sz w:val="20"/>
          <w:szCs w:val="20"/>
          <w:lang w:val="en-US" w:eastAsia="it-IT"/>
          <w14:ligatures w14:val="none"/>
        </w:rPr>
        <w:t>Researchers</w:t>
      </w:r>
      <w:r w:rsidR="00DC53CD" w:rsidRPr="00343BCC">
        <w:rPr>
          <w:rFonts w:ascii="Garamond" w:eastAsia="Times New Roman" w:hAnsi="Garamond" w:cs="Times New Roman"/>
          <w:kern w:val="0"/>
          <w:sz w:val="20"/>
          <w:szCs w:val="20"/>
          <w:lang w:val="en-US" w:eastAsia="it-IT"/>
          <w14:ligatures w14:val="none"/>
        </w:rPr>
        <w:t xml:space="preserve"> </w:t>
      </w:r>
      <w:r w:rsidRPr="00343BCC">
        <w:rPr>
          <w:rFonts w:ascii="Garamond" w:eastAsia="Times New Roman" w:hAnsi="Garamond" w:cs="Times New Roman"/>
          <w:kern w:val="0"/>
          <w:sz w:val="20"/>
          <w:szCs w:val="20"/>
          <w:lang w:val="en-US" w:eastAsia="it-IT"/>
          <w14:ligatures w14:val="none"/>
        </w:rPr>
        <w:t>propose the idea of</w:t>
      </w:r>
      <w:r w:rsidR="00DC53CD" w:rsidRPr="00343BCC">
        <w:rPr>
          <w:rFonts w:ascii="Garamond" w:eastAsia="Times New Roman" w:hAnsi="Garamond" w:cs="Times New Roman"/>
          <w:kern w:val="0"/>
          <w:sz w:val="20"/>
          <w:szCs w:val="20"/>
          <w:lang w:val="en-US" w:eastAsia="it-IT"/>
          <w14:ligatures w14:val="none"/>
        </w:rPr>
        <w:t xml:space="preserve"> scholars as “embedded-embodied actors” who participate in crafting more desirable futures, rather than adopting a normative perspective. </w:t>
      </w:r>
      <w:r w:rsidRPr="00343BCC">
        <w:rPr>
          <w:rFonts w:ascii="Garamond" w:eastAsia="Times New Roman" w:hAnsi="Garamond" w:cs="Times New Roman"/>
          <w:kern w:val="0"/>
          <w:sz w:val="20"/>
          <w:szCs w:val="20"/>
          <w:lang w:val="en-US" w:eastAsia="it-IT"/>
          <w14:ligatures w14:val="none"/>
        </w:rPr>
        <w:t>D</w:t>
      </w:r>
      <w:r w:rsidR="00DC53CD" w:rsidRPr="00343BCC">
        <w:rPr>
          <w:rFonts w:ascii="Garamond" w:eastAsia="Times New Roman" w:hAnsi="Garamond" w:cs="Times New Roman"/>
          <w:kern w:val="0"/>
          <w:sz w:val="20"/>
          <w:szCs w:val="20"/>
          <w:lang w:val="en-US" w:eastAsia="it-IT"/>
          <w14:ligatures w14:val="none"/>
        </w:rPr>
        <w:t xml:space="preserve">esign thinking methods are </w:t>
      </w:r>
      <w:r w:rsidRPr="00343BCC">
        <w:rPr>
          <w:rFonts w:ascii="Garamond" w:eastAsia="Times New Roman" w:hAnsi="Garamond" w:cs="Times New Roman"/>
          <w:kern w:val="0"/>
          <w:sz w:val="20"/>
          <w:szCs w:val="20"/>
          <w:lang w:val="en-US" w:eastAsia="it-IT"/>
          <w14:ligatures w14:val="none"/>
        </w:rPr>
        <w:t>“</w:t>
      </w:r>
      <w:r w:rsidR="00DC53CD" w:rsidRPr="00343BCC">
        <w:rPr>
          <w:rFonts w:ascii="Garamond" w:eastAsia="Times New Roman" w:hAnsi="Garamond" w:cs="Times New Roman"/>
          <w:kern w:val="0"/>
          <w:sz w:val="20"/>
          <w:szCs w:val="20"/>
          <w:lang w:val="en-US" w:eastAsia="it-IT"/>
          <w14:ligatures w14:val="none"/>
        </w:rPr>
        <w:t>future informed</w:t>
      </w:r>
      <w:r w:rsidRPr="00343BCC">
        <w:rPr>
          <w:rFonts w:ascii="Garamond" w:eastAsia="Times New Roman" w:hAnsi="Garamond" w:cs="Times New Roman"/>
          <w:kern w:val="0"/>
          <w:sz w:val="20"/>
          <w:szCs w:val="20"/>
          <w:lang w:val="en-US" w:eastAsia="it-IT"/>
          <w14:ligatures w14:val="none"/>
        </w:rPr>
        <w:t>”</w:t>
      </w:r>
      <w:r w:rsidR="00DC53CD" w:rsidRPr="00343BCC">
        <w:rPr>
          <w:rFonts w:ascii="Garamond" w:eastAsia="Times New Roman" w:hAnsi="Garamond" w:cs="Times New Roman"/>
          <w:kern w:val="0"/>
          <w:sz w:val="20"/>
          <w:szCs w:val="20"/>
          <w:lang w:val="en-US" w:eastAsia="it-IT"/>
          <w14:ligatures w14:val="none"/>
        </w:rPr>
        <w:t xml:space="preserve"> and user innovation studies advocate </w:t>
      </w:r>
      <w:r w:rsidRPr="00343BCC">
        <w:rPr>
          <w:rFonts w:ascii="Garamond" w:eastAsia="Times New Roman" w:hAnsi="Garamond" w:cs="Times New Roman"/>
          <w:kern w:val="0"/>
          <w:sz w:val="20"/>
          <w:szCs w:val="20"/>
          <w:lang w:val="en-US" w:eastAsia="it-IT"/>
          <w14:ligatures w14:val="none"/>
        </w:rPr>
        <w:t>for the creation</w:t>
      </w:r>
      <w:r w:rsidR="00DC53CD" w:rsidRPr="00343BCC">
        <w:rPr>
          <w:rFonts w:ascii="Garamond" w:eastAsia="Times New Roman" w:hAnsi="Garamond" w:cs="Times New Roman"/>
          <w:kern w:val="0"/>
          <w:sz w:val="20"/>
          <w:szCs w:val="20"/>
          <w:lang w:val="en-US" w:eastAsia="it-IT"/>
          <w14:ligatures w14:val="none"/>
        </w:rPr>
        <w:t xml:space="preserve"> of user needs that are future oriented. </w:t>
      </w:r>
      <w:r w:rsidRPr="00343BCC">
        <w:rPr>
          <w:rFonts w:ascii="Garamond" w:eastAsia="Times New Roman" w:hAnsi="Garamond" w:cs="Times New Roman"/>
          <w:kern w:val="0"/>
          <w:sz w:val="20"/>
          <w:szCs w:val="20"/>
          <w:lang w:val="en-US" w:eastAsia="it-IT"/>
          <w14:ligatures w14:val="none"/>
        </w:rPr>
        <w:t>D</w:t>
      </w:r>
      <w:r w:rsidR="00DC53CD" w:rsidRPr="00343BCC">
        <w:rPr>
          <w:rFonts w:ascii="Garamond" w:eastAsia="Times New Roman" w:hAnsi="Garamond" w:cs="Times New Roman"/>
          <w:kern w:val="0"/>
          <w:sz w:val="20"/>
          <w:szCs w:val="20"/>
          <w:lang w:val="en-US" w:eastAsia="it-IT"/>
          <w14:ligatures w14:val="none"/>
        </w:rPr>
        <w:t xml:space="preserve">igital technologies </w:t>
      </w:r>
      <w:r w:rsidRPr="00343BCC">
        <w:rPr>
          <w:rFonts w:ascii="Garamond" w:eastAsia="Times New Roman" w:hAnsi="Garamond" w:cs="Times New Roman"/>
          <w:kern w:val="0"/>
          <w:sz w:val="20"/>
          <w:szCs w:val="20"/>
          <w:lang w:val="en-US" w:eastAsia="it-IT"/>
          <w14:ligatures w14:val="none"/>
        </w:rPr>
        <w:t>like</w:t>
      </w:r>
      <w:r w:rsidR="00DC53CD" w:rsidRPr="00343BCC">
        <w:rPr>
          <w:rFonts w:ascii="Garamond" w:eastAsia="Times New Roman" w:hAnsi="Garamond" w:cs="Times New Roman"/>
          <w:kern w:val="0"/>
          <w:sz w:val="20"/>
          <w:szCs w:val="20"/>
          <w:lang w:val="en-US" w:eastAsia="it-IT"/>
          <w14:ligatures w14:val="none"/>
        </w:rPr>
        <w:t xml:space="preserve"> AI can enhance the </w:t>
      </w:r>
      <w:proofErr w:type="spellStart"/>
      <w:r w:rsidR="00DC53CD" w:rsidRPr="00343BCC">
        <w:rPr>
          <w:rFonts w:ascii="Garamond" w:eastAsia="Times New Roman" w:hAnsi="Garamond" w:cs="Times New Roman"/>
          <w:kern w:val="0"/>
          <w:sz w:val="20"/>
          <w:szCs w:val="20"/>
          <w:lang w:val="en-US" w:eastAsia="it-IT"/>
          <w14:ligatures w14:val="none"/>
        </w:rPr>
        <w:t>foresighting</w:t>
      </w:r>
      <w:proofErr w:type="spellEnd"/>
      <w:r w:rsidR="00DC53CD" w:rsidRPr="00343BCC">
        <w:rPr>
          <w:rFonts w:ascii="Garamond" w:eastAsia="Times New Roman" w:hAnsi="Garamond" w:cs="Times New Roman"/>
          <w:kern w:val="0"/>
          <w:sz w:val="20"/>
          <w:szCs w:val="20"/>
          <w:lang w:val="en-US" w:eastAsia="it-IT"/>
          <w14:ligatures w14:val="none"/>
        </w:rPr>
        <w:t>, imagining</w:t>
      </w:r>
      <w:r w:rsidR="00643DD2">
        <w:rPr>
          <w:rFonts w:ascii="Garamond" w:eastAsia="Times New Roman" w:hAnsi="Garamond" w:cs="Times New Roman"/>
          <w:kern w:val="0"/>
          <w:sz w:val="20"/>
          <w:szCs w:val="20"/>
          <w:lang w:val="en-US" w:eastAsia="it-IT"/>
          <w14:ligatures w14:val="none"/>
        </w:rPr>
        <w:t>,</w:t>
      </w:r>
      <w:r w:rsidR="00DC53CD" w:rsidRPr="00343BCC">
        <w:rPr>
          <w:rFonts w:ascii="Garamond" w:eastAsia="Times New Roman" w:hAnsi="Garamond" w:cs="Times New Roman"/>
          <w:kern w:val="0"/>
          <w:sz w:val="20"/>
          <w:szCs w:val="20"/>
          <w:lang w:val="en-US" w:eastAsia="it-IT"/>
          <w14:ligatures w14:val="none"/>
        </w:rPr>
        <w:t xml:space="preserve"> and crafting of desirable futures.</w:t>
      </w:r>
    </w:p>
    <w:p w14:paraId="7AA73761" w14:textId="77777777" w:rsidR="00DC53CD" w:rsidRPr="00343BCC" w:rsidRDefault="00DC53CD" w:rsidP="00343BCC">
      <w:pPr>
        <w:rPr>
          <w:rFonts w:ascii="Garamond" w:eastAsia="Times New Roman" w:hAnsi="Garamond" w:cs="Times New Roman"/>
          <w:kern w:val="0"/>
          <w:sz w:val="20"/>
          <w:szCs w:val="20"/>
          <w:lang w:val="en-US" w:eastAsia="it-IT"/>
          <w14:ligatures w14:val="none"/>
        </w:rPr>
      </w:pPr>
    </w:p>
    <w:p w14:paraId="7C04766D" w14:textId="2A2EE456" w:rsidR="00DC53CD" w:rsidRDefault="00DC53CD" w:rsidP="00343BCC">
      <w:p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Th</w:t>
      </w:r>
      <w:r w:rsidR="00034A1A" w:rsidRPr="00343BCC">
        <w:rPr>
          <w:rFonts w:ascii="Garamond" w:eastAsia="Times New Roman" w:hAnsi="Garamond" w:cs="Times New Roman"/>
          <w:kern w:val="0"/>
          <w:sz w:val="20"/>
          <w:szCs w:val="20"/>
          <w:lang w:val="en-US" w:eastAsia="it-IT"/>
          <w14:ligatures w14:val="none"/>
        </w:rPr>
        <w:t>is</w:t>
      </w:r>
      <w:r w:rsidRPr="00343BCC">
        <w:rPr>
          <w:rFonts w:ascii="Garamond" w:eastAsia="Times New Roman" w:hAnsi="Garamond" w:cs="Times New Roman"/>
          <w:kern w:val="0"/>
          <w:sz w:val="20"/>
          <w:szCs w:val="20"/>
          <w:lang w:val="en-US" w:eastAsia="it-IT"/>
          <w14:ligatures w14:val="none"/>
        </w:rPr>
        <w:t xml:space="preserve"> Call for Papers</w:t>
      </w:r>
      <w:r w:rsidR="00034A1A" w:rsidRPr="00343BCC">
        <w:rPr>
          <w:rFonts w:ascii="Garamond" w:eastAsia="Times New Roman" w:hAnsi="Garamond" w:cs="Times New Roman"/>
          <w:kern w:val="0"/>
          <w:sz w:val="20"/>
          <w:szCs w:val="20"/>
          <w:lang w:val="en-US" w:eastAsia="it-IT"/>
          <w14:ligatures w14:val="none"/>
        </w:rPr>
        <w:t xml:space="preserve"> aims</w:t>
      </w:r>
      <w:r w:rsidRPr="00343BCC">
        <w:rPr>
          <w:rFonts w:ascii="Garamond" w:eastAsia="Times New Roman" w:hAnsi="Garamond" w:cs="Times New Roman"/>
          <w:kern w:val="0"/>
          <w:sz w:val="20"/>
          <w:szCs w:val="20"/>
          <w:lang w:val="en-US" w:eastAsia="it-IT"/>
          <w14:ligatures w14:val="none"/>
        </w:rPr>
        <w:t xml:space="preserve"> to foster a richer understanding of the various approaches aimed at </w:t>
      </w:r>
      <w:proofErr w:type="spellStart"/>
      <w:r w:rsidRPr="00343BCC">
        <w:rPr>
          <w:rFonts w:ascii="Garamond" w:eastAsia="Times New Roman" w:hAnsi="Garamond" w:cs="Times New Roman"/>
          <w:kern w:val="0"/>
          <w:sz w:val="20"/>
          <w:szCs w:val="20"/>
          <w:lang w:val="en-US" w:eastAsia="it-IT"/>
          <w14:ligatures w14:val="none"/>
        </w:rPr>
        <w:t>foresighting</w:t>
      </w:r>
      <w:proofErr w:type="spellEnd"/>
      <w:r w:rsidRPr="00343BCC">
        <w:rPr>
          <w:rFonts w:ascii="Garamond" w:eastAsia="Times New Roman" w:hAnsi="Garamond" w:cs="Times New Roman"/>
          <w:kern w:val="0"/>
          <w:sz w:val="20"/>
          <w:szCs w:val="20"/>
          <w:lang w:val="en-US" w:eastAsia="it-IT"/>
          <w14:ligatures w14:val="none"/>
        </w:rPr>
        <w:t>, imagining, and crafting desirable futures at the individual, team, organizational, and/or system level. We aim to bring together scholars</w:t>
      </w:r>
      <w:r w:rsidR="00482E23" w:rsidRPr="00343BCC">
        <w:rPr>
          <w:rFonts w:ascii="Garamond" w:eastAsia="Times New Roman" w:hAnsi="Garamond" w:cs="Times New Roman"/>
          <w:kern w:val="0"/>
          <w:sz w:val="20"/>
          <w:szCs w:val="20"/>
          <w:lang w:val="en-US" w:eastAsia="it-IT"/>
          <w14:ligatures w14:val="none"/>
        </w:rPr>
        <w:t xml:space="preserve"> and practitioners</w:t>
      </w:r>
      <w:r w:rsidRPr="00343BCC">
        <w:rPr>
          <w:rFonts w:ascii="Garamond" w:eastAsia="Times New Roman" w:hAnsi="Garamond" w:cs="Times New Roman"/>
          <w:kern w:val="0"/>
          <w:sz w:val="20"/>
          <w:szCs w:val="20"/>
          <w:lang w:val="en-US" w:eastAsia="it-IT"/>
          <w14:ligatures w14:val="none"/>
        </w:rPr>
        <w:t xml:space="preserve"> </w:t>
      </w:r>
      <w:r w:rsidR="00482E23" w:rsidRPr="00343BCC">
        <w:rPr>
          <w:rFonts w:ascii="Garamond" w:eastAsia="Times New Roman" w:hAnsi="Garamond" w:cs="Times New Roman"/>
          <w:kern w:val="0"/>
          <w:sz w:val="20"/>
          <w:szCs w:val="20"/>
          <w:lang w:val="en-US" w:eastAsia="it-IT"/>
          <w14:ligatures w14:val="none"/>
        </w:rPr>
        <w:t xml:space="preserve">from </w:t>
      </w:r>
      <w:r w:rsidRPr="00343BCC">
        <w:rPr>
          <w:rFonts w:ascii="Garamond" w:eastAsia="Times New Roman" w:hAnsi="Garamond" w:cs="Times New Roman"/>
          <w:kern w:val="0"/>
          <w:sz w:val="20"/>
          <w:szCs w:val="20"/>
          <w:lang w:val="en-US" w:eastAsia="it-IT"/>
          <w14:ligatures w14:val="none"/>
        </w:rPr>
        <w:t xml:space="preserve">across different </w:t>
      </w:r>
      <w:r w:rsidR="00482E23" w:rsidRPr="00343BCC">
        <w:rPr>
          <w:rFonts w:ascii="Garamond" w:eastAsia="Times New Roman" w:hAnsi="Garamond" w:cs="Times New Roman"/>
          <w:kern w:val="0"/>
          <w:sz w:val="20"/>
          <w:szCs w:val="20"/>
          <w:lang w:val="en-US" w:eastAsia="it-IT"/>
          <w14:ligatures w14:val="none"/>
        </w:rPr>
        <w:t xml:space="preserve">disciplines and industries to expand </w:t>
      </w:r>
      <w:r w:rsidRPr="00343BCC">
        <w:rPr>
          <w:rFonts w:ascii="Garamond" w:eastAsia="Times New Roman" w:hAnsi="Garamond" w:cs="Times New Roman"/>
          <w:kern w:val="0"/>
          <w:sz w:val="20"/>
          <w:szCs w:val="20"/>
          <w:lang w:val="en-US" w:eastAsia="it-IT"/>
          <w14:ligatures w14:val="none"/>
        </w:rPr>
        <w:t xml:space="preserve">research </w:t>
      </w:r>
      <w:r w:rsidR="00482E23" w:rsidRPr="00343BCC">
        <w:rPr>
          <w:rFonts w:ascii="Garamond" w:eastAsia="Times New Roman" w:hAnsi="Garamond" w:cs="Times New Roman"/>
          <w:kern w:val="0"/>
          <w:sz w:val="20"/>
          <w:szCs w:val="20"/>
          <w:lang w:val="en-US" w:eastAsia="it-IT"/>
          <w14:ligatures w14:val="none"/>
        </w:rPr>
        <w:t>and practice. W</w:t>
      </w:r>
      <w:r w:rsidRPr="00343BCC">
        <w:rPr>
          <w:rFonts w:ascii="Garamond" w:eastAsia="Times New Roman" w:hAnsi="Garamond" w:cs="Times New Roman"/>
          <w:kern w:val="0"/>
          <w:sz w:val="20"/>
          <w:szCs w:val="20"/>
          <w:lang w:val="en-US" w:eastAsia="it-IT"/>
          <w14:ligatures w14:val="none"/>
        </w:rPr>
        <w:t>e are actively seeking papers on the following topics:</w:t>
      </w:r>
    </w:p>
    <w:p w14:paraId="008EAAEE" w14:textId="77777777" w:rsidR="00343BCC" w:rsidRPr="00343BCC" w:rsidRDefault="00343BCC" w:rsidP="00343BCC">
      <w:pPr>
        <w:rPr>
          <w:rFonts w:ascii="Garamond" w:eastAsia="Times New Roman" w:hAnsi="Garamond" w:cs="Times New Roman"/>
          <w:kern w:val="0"/>
          <w:sz w:val="20"/>
          <w:szCs w:val="20"/>
          <w:lang w:val="en-US" w:eastAsia="it-IT"/>
          <w14:ligatures w14:val="none"/>
        </w:rPr>
      </w:pPr>
    </w:p>
    <w:p w14:paraId="52402CE8" w14:textId="54F44B9A" w:rsidR="00DC53CD" w:rsidRPr="00343BCC" w:rsidRDefault="00DC53CD" w:rsidP="00343BCC">
      <w:pPr>
        <w:pStyle w:val="ListParagraph"/>
        <w:numPr>
          <w:ilvl w:val="0"/>
          <w:numId w:val="2"/>
        </w:num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Imagination and creativity in a VUCA environment,</w:t>
      </w:r>
      <w:r w:rsidR="00A97F13">
        <w:rPr>
          <w:rFonts w:ascii="Garamond" w:eastAsia="Times New Roman" w:hAnsi="Garamond" w:cs="Times New Roman"/>
          <w:kern w:val="0"/>
          <w:sz w:val="20"/>
          <w:szCs w:val="20"/>
          <w:lang w:val="en-US" w:eastAsia="it-IT"/>
          <w14:ligatures w14:val="none"/>
        </w:rPr>
        <w:t xml:space="preserve"> which</w:t>
      </w:r>
      <w:r w:rsidRPr="00343BCC">
        <w:rPr>
          <w:rFonts w:ascii="Garamond" w:eastAsia="Times New Roman" w:hAnsi="Garamond" w:cs="Times New Roman"/>
          <w:kern w:val="0"/>
          <w:sz w:val="20"/>
          <w:szCs w:val="20"/>
          <w:lang w:val="en-US" w:eastAsia="it-IT"/>
          <w14:ligatures w14:val="none"/>
        </w:rPr>
        <w:t xml:space="preserve"> </w:t>
      </w:r>
      <w:r w:rsidR="00A97F13" w:rsidRPr="00343BCC">
        <w:rPr>
          <w:rFonts w:ascii="Garamond" w:eastAsia="Times New Roman" w:hAnsi="Garamond" w:cs="Times New Roman"/>
          <w:kern w:val="0"/>
          <w:sz w:val="20"/>
          <w:szCs w:val="20"/>
          <w:lang w:val="en-US" w:eastAsia="it-IT"/>
          <w14:ligatures w14:val="none"/>
        </w:rPr>
        <w:t>challeng</w:t>
      </w:r>
      <w:r w:rsidR="00A97F13">
        <w:rPr>
          <w:rFonts w:ascii="Garamond" w:eastAsia="Times New Roman" w:hAnsi="Garamond" w:cs="Times New Roman"/>
          <w:kern w:val="0"/>
          <w:sz w:val="20"/>
          <w:szCs w:val="20"/>
          <w:lang w:val="en-US" w:eastAsia="it-IT"/>
          <w14:ligatures w14:val="none"/>
        </w:rPr>
        <w:t>e</w:t>
      </w:r>
      <w:r w:rsidR="00A97F13" w:rsidRPr="00343BCC">
        <w:rPr>
          <w:rFonts w:ascii="Garamond" w:eastAsia="Times New Roman" w:hAnsi="Garamond" w:cs="Times New Roman"/>
          <w:kern w:val="0"/>
          <w:sz w:val="20"/>
          <w:szCs w:val="20"/>
          <w:lang w:val="en-US" w:eastAsia="it-IT"/>
          <w14:ligatures w14:val="none"/>
        </w:rPr>
        <w:t xml:space="preserve"> </w:t>
      </w:r>
      <w:r w:rsidRPr="00343BCC">
        <w:rPr>
          <w:rFonts w:ascii="Garamond" w:eastAsia="Times New Roman" w:hAnsi="Garamond" w:cs="Times New Roman"/>
          <w:kern w:val="0"/>
          <w:sz w:val="20"/>
          <w:szCs w:val="20"/>
          <w:lang w:val="en-US" w:eastAsia="it-IT"/>
          <w14:ligatures w14:val="none"/>
        </w:rPr>
        <w:t xml:space="preserve">traditional </w:t>
      </w:r>
      <w:r w:rsidR="00A97F13">
        <w:rPr>
          <w:rFonts w:ascii="Garamond" w:eastAsia="Times New Roman" w:hAnsi="Garamond" w:cs="Times New Roman"/>
          <w:kern w:val="0"/>
          <w:sz w:val="20"/>
          <w:szCs w:val="20"/>
          <w:lang w:val="en-US" w:eastAsia="it-IT"/>
          <w14:ligatures w14:val="none"/>
        </w:rPr>
        <w:t>thinking and convention</w:t>
      </w:r>
      <w:r w:rsidR="00D92D29" w:rsidRPr="00343BCC">
        <w:rPr>
          <w:rFonts w:ascii="Garamond" w:eastAsia="Times New Roman" w:hAnsi="Garamond" w:cs="Times New Roman"/>
          <w:kern w:val="0"/>
          <w:sz w:val="20"/>
          <w:szCs w:val="20"/>
          <w:lang w:val="en-US" w:eastAsia="it-IT"/>
          <w14:ligatures w14:val="none"/>
        </w:rPr>
        <w:t>;</w:t>
      </w:r>
    </w:p>
    <w:p w14:paraId="03079D1F" w14:textId="153B5313" w:rsidR="00DC53CD" w:rsidRPr="00343BCC" w:rsidRDefault="00DC53CD" w:rsidP="00343BCC">
      <w:pPr>
        <w:pStyle w:val="ListParagraph"/>
        <w:numPr>
          <w:ilvl w:val="0"/>
          <w:numId w:val="2"/>
        </w:num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 xml:space="preserve">Paradoxes around innovation in a VUCA environment </w:t>
      </w:r>
      <w:r w:rsidR="007369DB">
        <w:rPr>
          <w:rFonts w:ascii="Garamond" w:eastAsia="Times New Roman" w:hAnsi="Garamond" w:cs="Times New Roman"/>
          <w:kern w:val="0"/>
          <w:sz w:val="20"/>
          <w:szCs w:val="20"/>
          <w:lang w:val="en-US" w:eastAsia="it-IT"/>
          <w14:ligatures w14:val="none"/>
        </w:rPr>
        <w:t>to</w:t>
      </w:r>
      <w:r w:rsidR="00A97F13">
        <w:rPr>
          <w:rFonts w:ascii="Garamond" w:eastAsia="Times New Roman" w:hAnsi="Garamond" w:cs="Times New Roman"/>
          <w:kern w:val="0"/>
          <w:sz w:val="20"/>
          <w:szCs w:val="20"/>
          <w:lang w:val="en-US" w:eastAsia="it-IT"/>
          <w14:ligatures w14:val="none"/>
        </w:rPr>
        <w:t xml:space="preserve"> </w:t>
      </w:r>
      <w:r w:rsidRPr="00343BCC">
        <w:rPr>
          <w:rFonts w:ascii="Garamond" w:eastAsia="Times New Roman" w:hAnsi="Garamond" w:cs="Times New Roman"/>
          <w:kern w:val="0"/>
          <w:sz w:val="20"/>
          <w:szCs w:val="20"/>
          <w:lang w:val="en-US" w:eastAsia="it-IT"/>
          <w14:ligatures w14:val="none"/>
        </w:rPr>
        <w:t>foresight, imagine</w:t>
      </w:r>
      <w:r w:rsidR="00643DD2">
        <w:rPr>
          <w:rFonts w:ascii="Garamond" w:eastAsia="Times New Roman" w:hAnsi="Garamond" w:cs="Times New Roman"/>
          <w:kern w:val="0"/>
          <w:sz w:val="20"/>
          <w:szCs w:val="20"/>
          <w:lang w:val="en-US" w:eastAsia="it-IT"/>
          <w14:ligatures w14:val="none"/>
        </w:rPr>
        <w:t>,</w:t>
      </w:r>
      <w:r w:rsidRPr="00343BCC">
        <w:rPr>
          <w:rFonts w:ascii="Garamond" w:eastAsia="Times New Roman" w:hAnsi="Garamond" w:cs="Times New Roman"/>
          <w:kern w:val="0"/>
          <w:sz w:val="20"/>
          <w:szCs w:val="20"/>
          <w:lang w:val="en-US" w:eastAsia="it-IT"/>
          <w14:ligatures w14:val="none"/>
        </w:rPr>
        <w:t xml:space="preserve"> and craft desirable futures</w:t>
      </w:r>
      <w:r w:rsidR="00D92D29" w:rsidRPr="00343BCC">
        <w:rPr>
          <w:rFonts w:ascii="Garamond" w:eastAsia="Times New Roman" w:hAnsi="Garamond" w:cs="Times New Roman"/>
          <w:kern w:val="0"/>
          <w:sz w:val="20"/>
          <w:szCs w:val="20"/>
          <w:lang w:val="en-US" w:eastAsia="it-IT"/>
          <w14:ligatures w14:val="none"/>
        </w:rPr>
        <w:t>;</w:t>
      </w:r>
    </w:p>
    <w:p w14:paraId="562363C2" w14:textId="6D4FA6D5" w:rsidR="00DC53CD" w:rsidRPr="00343BCC" w:rsidRDefault="00DC53CD" w:rsidP="00343BCC">
      <w:pPr>
        <w:pStyle w:val="ListParagraph"/>
        <w:numPr>
          <w:ilvl w:val="0"/>
          <w:numId w:val="2"/>
        </w:num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 xml:space="preserve">Organizational capabilities </w:t>
      </w:r>
      <w:r w:rsidR="00A97F13">
        <w:rPr>
          <w:rFonts w:ascii="Garamond" w:eastAsia="Times New Roman" w:hAnsi="Garamond" w:cs="Times New Roman"/>
          <w:kern w:val="0"/>
          <w:sz w:val="20"/>
          <w:szCs w:val="20"/>
          <w:lang w:val="en-US" w:eastAsia="it-IT"/>
          <w14:ligatures w14:val="none"/>
        </w:rPr>
        <w:t xml:space="preserve">organizations </w:t>
      </w:r>
      <w:r w:rsidRPr="00343BCC">
        <w:rPr>
          <w:rFonts w:ascii="Garamond" w:eastAsia="Times New Roman" w:hAnsi="Garamond" w:cs="Times New Roman"/>
          <w:kern w:val="0"/>
          <w:sz w:val="20"/>
          <w:szCs w:val="20"/>
          <w:lang w:val="en-US" w:eastAsia="it-IT"/>
          <w14:ligatures w14:val="none"/>
        </w:rPr>
        <w:t xml:space="preserve">need to </w:t>
      </w:r>
      <w:r w:rsidR="00A97F13">
        <w:rPr>
          <w:rFonts w:ascii="Garamond" w:eastAsia="Times New Roman" w:hAnsi="Garamond" w:cs="Times New Roman"/>
          <w:kern w:val="0"/>
          <w:sz w:val="20"/>
          <w:szCs w:val="20"/>
          <w:lang w:val="en-US" w:eastAsia="it-IT"/>
          <w14:ligatures w14:val="none"/>
        </w:rPr>
        <w:t xml:space="preserve">create </w:t>
      </w:r>
      <w:r w:rsidRPr="00343BCC">
        <w:rPr>
          <w:rFonts w:ascii="Garamond" w:eastAsia="Times New Roman" w:hAnsi="Garamond" w:cs="Times New Roman"/>
          <w:kern w:val="0"/>
          <w:sz w:val="20"/>
          <w:szCs w:val="20"/>
          <w:lang w:val="en-US" w:eastAsia="it-IT"/>
          <w14:ligatures w14:val="none"/>
        </w:rPr>
        <w:t>desirable futures</w:t>
      </w:r>
      <w:r w:rsidR="00D92D29" w:rsidRPr="00343BCC">
        <w:rPr>
          <w:rFonts w:ascii="Garamond" w:eastAsia="Times New Roman" w:hAnsi="Garamond" w:cs="Times New Roman"/>
          <w:kern w:val="0"/>
          <w:sz w:val="20"/>
          <w:szCs w:val="20"/>
          <w:lang w:val="en-US" w:eastAsia="it-IT"/>
          <w14:ligatures w14:val="none"/>
        </w:rPr>
        <w:t>;</w:t>
      </w:r>
    </w:p>
    <w:p w14:paraId="26B6FDD8" w14:textId="719DF06C" w:rsidR="00DC53CD" w:rsidRPr="00343BCC" w:rsidRDefault="00DC53CD" w:rsidP="00343BCC">
      <w:pPr>
        <w:pStyle w:val="ListParagraph"/>
        <w:numPr>
          <w:ilvl w:val="0"/>
          <w:numId w:val="2"/>
        </w:num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 xml:space="preserve">Processes and practices that organizations can </w:t>
      </w:r>
      <w:r w:rsidR="00643DD2">
        <w:rPr>
          <w:rFonts w:ascii="Garamond" w:eastAsia="Times New Roman" w:hAnsi="Garamond" w:cs="Times New Roman"/>
          <w:kern w:val="0"/>
          <w:sz w:val="20"/>
          <w:szCs w:val="20"/>
          <w:lang w:val="en-US" w:eastAsia="it-IT"/>
          <w14:ligatures w14:val="none"/>
        </w:rPr>
        <w:t>implement</w:t>
      </w:r>
      <w:r w:rsidRPr="00343BCC">
        <w:rPr>
          <w:rFonts w:ascii="Garamond" w:eastAsia="Times New Roman" w:hAnsi="Garamond" w:cs="Times New Roman"/>
          <w:kern w:val="0"/>
          <w:sz w:val="20"/>
          <w:szCs w:val="20"/>
          <w:lang w:val="en-US" w:eastAsia="it-IT"/>
          <w14:ligatures w14:val="none"/>
        </w:rPr>
        <w:t xml:space="preserve"> to craft desirable futures</w:t>
      </w:r>
      <w:r w:rsidR="00D92D29" w:rsidRPr="00343BCC">
        <w:rPr>
          <w:rFonts w:ascii="Garamond" w:eastAsia="Times New Roman" w:hAnsi="Garamond" w:cs="Times New Roman"/>
          <w:kern w:val="0"/>
          <w:sz w:val="20"/>
          <w:szCs w:val="20"/>
          <w:lang w:val="en-US" w:eastAsia="it-IT"/>
          <w14:ligatures w14:val="none"/>
        </w:rPr>
        <w:t>;</w:t>
      </w:r>
    </w:p>
    <w:p w14:paraId="55351551" w14:textId="32DA06CB" w:rsidR="00DC53CD" w:rsidRPr="00343BCC" w:rsidRDefault="00DC53CD" w:rsidP="00343BCC">
      <w:pPr>
        <w:pStyle w:val="ListParagraph"/>
        <w:numPr>
          <w:ilvl w:val="0"/>
          <w:numId w:val="2"/>
        </w:num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Technologies and approaches that can foster foresight, imagination</w:t>
      </w:r>
      <w:r w:rsidR="00643DD2">
        <w:rPr>
          <w:rFonts w:ascii="Garamond" w:eastAsia="Times New Roman" w:hAnsi="Garamond" w:cs="Times New Roman"/>
          <w:kern w:val="0"/>
          <w:sz w:val="20"/>
          <w:szCs w:val="20"/>
          <w:lang w:val="en-US" w:eastAsia="it-IT"/>
          <w14:ligatures w14:val="none"/>
        </w:rPr>
        <w:t>,</w:t>
      </w:r>
      <w:r w:rsidRPr="00343BCC">
        <w:rPr>
          <w:rFonts w:ascii="Garamond" w:eastAsia="Times New Roman" w:hAnsi="Garamond" w:cs="Times New Roman"/>
          <w:kern w:val="0"/>
          <w:sz w:val="20"/>
          <w:szCs w:val="20"/>
          <w:lang w:val="en-US" w:eastAsia="it-IT"/>
          <w14:ligatures w14:val="none"/>
        </w:rPr>
        <w:t xml:space="preserve"> and crafting of desirable futures</w:t>
      </w:r>
      <w:r w:rsidR="00D92D29" w:rsidRPr="00343BCC">
        <w:rPr>
          <w:rFonts w:ascii="Garamond" w:eastAsia="Times New Roman" w:hAnsi="Garamond" w:cs="Times New Roman"/>
          <w:kern w:val="0"/>
          <w:sz w:val="20"/>
          <w:szCs w:val="20"/>
          <w:lang w:val="en-US" w:eastAsia="it-IT"/>
          <w14:ligatures w14:val="none"/>
        </w:rPr>
        <w:t>;</w:t>
      </w:r>
    </w:p>
    <w:p w14:paraId="707FBA10" w14:textId="27F2F813" w:rsidR="00DC53CD" w:rsidRPr="00343BCC" w:rsidRDefault="00DC53CD" w:rsidP="00343BCC">
      <w:pPr>
        <w:pStyle w:val="ListParagraph"/>
        <w:numPr>
          <w:ilvl w:val="0"/>
          <w:numId w:val="2"/>
        </w:numPr>
        <w:rPr>
          <w:rFonts w:ascii="Garamond" w:eastAsia="Times New Roman" w:hAnsi="Garamond" w:cs="Times New Roman"/>
          <w:kern w:val="0"/>
          <w:sz w:val="20"/>
          <w:szCs w:val="20"/>
          <w:lang w:val="en-US" w:eastAsia="it-IT"/>
          <w14:ligatures w14:val="none"/>
        </w:rPr>
      </w:pPr>
      <w:r w:rsidRPr="00343BCC">
        <w:rPr>
          <w:rFonts w:ascii="Garamond" w:eastAsia="Times New Roman" w:hAnsi="Garamond" w:cs="Times New Roman"/>
          <w:kern w:val="0"/>
          <w:sz w:val="20"/>
          <w:szCs w:val="20"/>
          <w:lang w:val="en-US" w:eastAsia="it-IT"/>
          <w14:ligatures w14:val="none"/>
        </w:rPr>
        <w:t>Actors (public, private) involved in the foresight, imagination</w:t>
      </w:r>
      <w:r w:rsidR="00643DD2">
        <w:rPr>
          <w:rFonts w:ascii="Garamond" w:eastAsia="Times New Roman" w:hAnsi="Garamond" w:cs="Times New Roman"/>
          <w:kern w:val="0"/>
          <w:sz w:val="20"/>
          <w:szCs w:val="20"/>
          <w:lang w:val="en-US" w:eastAsia="it-IT"/>
          <w14:ligatures w14:val="none"/>
        </w:rPr>
        <w:t>,</w:t>
      </w:r>
      <w:r w:rsidRPr="00343BCC">
        <w:rPr>
          <w:rFonts w:ascii="Garamond" w:eastAsia="Times New Roman" w:hAnsi="Garamond" w:cs="Times New Roman"/>
          <w:kern w:val="0"/>
          <w:sz w:val="20"/>
          <w:szCs w:val="20"/>
          <w:lang w:val="en-US" w:eastAsia="it-IT"/>
          <w14:ligatures w14:val="none"/>
        </w:rPr>
        <w:t xml:space="preserve"> and crafting of desirable futures and their interactions</w:t>
      </w:r>
      <w:r w:rsidR="00D92D29" w:rsidRPr="00343BCC">
        <w:rPr>
          <w:rFonts w:ascii="Garamond" w:eastAsia="Times New Roman" w:hAnsi="Garamond" w:cs="Times New Roman"/>
          <w:kern w:val="0"/>
          <w:sz w:val="20"/>
          <w:szCs w:val="20"/>
          <w:lang w:val="en-US" w:eastAsia="it-IT"/>
          <w14:ligatures w14:val="none"/>
        </w:rPr>
        <w:t>;</w:t>
      </w:r>
    </w:p>
    <w:p w14:paraId="6F11D864" w14:textId="6F0E3CA1" w:rsidR="00DC53CD" w:rsidRPr="00343BCC" w:rsidRDefault="007369DB" w:rsidP="00343BCC">
      <w:pPr>
        <w:pStyle w:val="ListParagraph"/>
        <w:numPr>
          <w:ilvl w:val="0"/>
          <w:numId w:val="2"/>
        </w:numPr>
        <w:rPr>
          <w:rFonts w:ascii="Garamond" w:eastAsia="Times New Roman" w:hAnsi="Garamond" w:cs="Times New Roman"/>
          <w:kern w:val="0"/>
          <w:sz w:val="20"/>
          <w:szCs w:val="20"/>
          <w:lang w:val="en-US" w:eastAsia="it-IT"/>
          <w14:ligatures w14:val="none"/>
        </w:rPr>
      </w:pPr>
      <w:r>
        <w:rPr>
          <w:rFonts w:ascii="Garamond" w:eastAsia="Times New Roman" w:hAnsi="Garamond" w:cs="Times New Roman"/>
          <w:kern w:val="0"/>
          <w:sz w:val="20"/>
          <w:szCs w:val="20"/>
          <w:lang w:val="en-US" w:eastAsia="it-IT"/>
          <w14:ligatures w14:val="none"/>
        </w:rPr>
        <w:t>S</w:t>
      </w:r>
      <w:r w:rsidR="00DC53CD" w:rsidRPr="00343BCC">
        <w:rPr>
          <w:rFonts w:ascii="Garamond" w:eastAsia="Times New Roman" w:hAnsi="Garamond" w:cs="Times New Roman"/>
          <w:kern w:val="0"/>
          <w:sz w:val="20"/>
          <w:szCs w:val="20"/>
          <w:lang w:val="en-US" w:eastAsia="it-IT"/>
          <w14:ligatures w14:val="none"/>
        </w:rPr>
        <w:t>elect</w:t>
      </w:r>
      <w:r>
        <w:rPr>
          <w:rFonts w:ascii="Garamond" w:eastAsia="Times New Roman" w:hAnsi="Garamond" w:cs="Times New Roman"/>
          <w:kern w:val="0"/>
          <w:sz w:val="20"/>
          <w:szCs w:val="20"/>
          <w:lang w:val="en-US" w:eastAsia="it-IT"/>
          <w14:ligatures w14:val="none"/>
        </w:rPr>
        <w:t>ion</w:t>
      </w:r>
      <w:r w:rsidR="00DC53CD" w:rsidRPr="00343BCC">
        <w:rPr>
          <w:rFonts w:ascii="Garamond" w:eastAsia="Times New Roman" w:hAnsi="Garamond" w:cs="Times New Roman"/>
          <w:kern w:val="0"/>
          <w:sz w:val="20"/>
          <w:szCs w:val="20"/>
          <w:lang w:val="en-US" w:eastAsia="it-IT"/>
          <w14:ligatures w14:val="none"/>
        </w:rPr>
        <w:t xml:space="preserve"> and involve</w:t>
      </w:r>
      <w:r>
        <w:rPr>
          <w:rFonts w:ascii="Garamond" w:eastAsia="Times New Roman" w:hAnsi="Garamond" w:cs="Times New Roman"/>
          <w:kern w:val="0"/>
          <w:sz w:val="20"/>
          <w:szCs w:val="20"/>
          <w:lang w:val="en-US" w:eastAsia="it-IT"/>
          <w14:ligatures w14:val="none"/>
        </w:rPr>
        <w:t>ment of</w:t>
      </w:r>
      <w:r w:rsidR="00DC53CD" w:rsidRPr="00343BCC">
        <w:rPr>
          <w:rFonts w:ascii="Garamond" w:eastAsia="Times New Roman" w:hAnsi="Garamond" w:cs="Times New Roman"/>
          <w:kern w:val="0"/>
          <w:sz w:val="20"/>
          <w:szCs w:val="20"/>
          <w:lang w:val="en-US" w:eastAsia="it-IT"/>
          <w14:ligatures w14:val="none"/>
        </w:rPr>
        <w:t xml:space="preserve"> ordinary and lead users in </w:t>
      </w:r>
      <w:r w:rsidR="00EC0B06">
        <w:rPr>
          <w:rFonts w:ascii="Garamond" w:eastAsia="Times New Roman" w:hAnsi="Garamond" w:cs="Times New Roman"/>
          <w:kern w:val="0"/>
          <w:sz w:val="20"/>
          <w:szCs w:val="20"/>
          <w:lang w:val="en-US" w:eastAsia="it-IT"/>
          <w14:ligatures w14:val="none"/>
        </w:rPr>
        <w:t xml:space="preserve">the </w:t>
      </w:r>
      <w:r w:rsidR="00DC53CD" w:rsidRPr="00343BCC">
        <w:rPr>
          <w:rFonts w:ascii="Garamond" w:eastAsia="Times New Roman" w:hAnsi="Garamond" w:cs="Times New Roman"/>
          <w:kern w:val="0"/>
          <w:sz w:val="20"/>
          <w:szCs w:val="20"/>
          <w:lang w:val="en-US" w:eastAsia="it-IT"/>
          <w14:ligatures w14:val="none"/>
        </w:rPr>
        <w:t>foresight, imagination</w:t>
      </w:r>
      <w:r>
        <w:rPr>
          <w:rFonts w:ascii="Garamond" w:eastAsia="Times New Roman" w:hAnsi="Garamond" w:cs="Times New Roman"/>
          <w:kern w:val="0"/>
          <w:sz w:val="20"/>
          <w:szCs w:val="20"/>
          <w:lang w:val="en-US" w:eastAsia="it-IT"/>
          <w14:ligatures w14:val="none"/>
        </w:rPr>
        <w:t>,</w:t>
      </w:r>
      <w:r w:rsidR="00DC53CD" w:rsidRPr="00343BCC">
        <w:rPr>
          <w:rFonts w:ascii="Garamond" w:eastAsia="Times New Roman" w:hAnsi="Garamond" w:cs="Times New Roman"/>
          <w:kern w:val="0"/>
          <w:sz w:val="20"/>
          <w:szCs w:val="20"/>
          <w:lang w:val="en-US" w:eastAsia="it-IT"/>
          <w14:ligatures w14:val="none"/>
        </w:rPr>
        <w:t xml:space="preserve"> and crafting of desirable futures.</w:t>
      </w:r>
    </w:p>
    <w:p w14:paraId="1AA779C7" w14:textId="77777777" w:rsidR="00DC53CD" w:rsidRPr="00343BCC" w:rsidRDefault="00DC53CD" w:rsidP="00343BCC">
      <w:pPr>
        <w:rPr>
          <w:rFonts w:ascii="Garamond" w:eastAsia="Times New Roman" w:hAnsi="Garamond" w:cs="Times New Roman"/>
          <w:kern w:val="0"/>
          <w:sz w:val="20"/>
          <w:szCs w:val="20"/>
          <w:lang w:val="en-US" w:eastAsia="it-IT"/>
          <w14:ligatures w14:val="none"/>
        </w:rPr>
      </w:pPr>
    </w:p>
    <w:p w14:paraId="7E32EC59" w14:textId="48AA8D6B" w:rsidR="00D92D29" w:rsidRPr="00343BCC" w:rsidRDefault="00343BCC" w:rsidP="00343BCC">
      <w:pPr>
        <w:rPr>
          <w:rFonts w:ascii="Garamond" w:eastAsia="Times New Roman" w:hAnsi="Garamond" w:cs="Times New Roman"/>
          <w:kern w:val="0"/>
          <w:sz w:val="20"/>
          <w:szCs w:val="20"/>
          <w:lang w:val="en-US" w:eastAsia="it-IT"/>
          <w14:ligatures w14:val="none"/>
        </w:rPr>
      </w:pPr>
      <w:r>
        <w:rPr>
          <w:rFonts w:ascii="Garamond" w:eastAsia="Times New Roman" w:hAnsi="Garamond" w:cs="Times New Roman"/>
          <w:kern w:val="0"/>
          <w:sz w:val="20"/>
          <w:szCs w:val="20"/>
          <w:lang w:val="en-US" w:eastAsia="it-IT"/>
          <w14:ligatures w14:val="none"/>
        </w:rPr>
        <w:t xml:space="preserve">Given </w:t>
      </w:r>
      <w:r w:rsidR="00D92D29" w:rsidRPr="00343BCC">
        <w:rPr>
          <w:rFonts w:ascii="Garamond" w:eastAsia="Times New Roman" w:hAnsi="Garamond" w:cs="Times New Roman"/>
          <w:kern w:val="0"/>
          <w:sz w:val="20"/>
          <w:szCs w:val="20"/>
          <w:lang w:val="en-US" w:eastAsia="it-IT"/>
          <w14:ligatures w14:val="none"/>
        </w:rPr>
        <w:t xml:space="preserve">the versatility and interdisciplinarity of </w:t>
      </w:r>
      <w:r>
        <w:rPr>
          <w:rFonts w:ascii="Garamond" w:eastAsia="Times New Roman" w:hAnsi="Garamond" w:cs="Times New Roman"/>
          <w:kern w:val="0"/>
          <w:sz w:val="20"/>
          <w:szCs w:val="20"/>
          <w:lang w:val="en-US" w:eastAsia="it-IT"/>
          <w14:ligatures w14:val="none"/>
        </w:rPr>
        <w:t>these</w:t>
      </w:r>
      <w:r w:rsidR="00D92D29" w:rsidRPr="00343BCC">
        <w:rPr>
          <w:rFonts w:ascii="Garamond" w:eastAsia="Times New Roman" w:hAnsi="Garamond" w:cs="Times New Roman"/>
          <w:kern w:val="0"/>
          <w:sz w:val="20"/>
          <w:szCs w:val="20"/>
          <w:lang w:val="en-US" w:eastAsia="it-IT"/>
          <w14:ligatures w14:val="none"/>
        </w:rPr>
        <w:t xml:space="preserve"> topics, we welcome studies that follow different methodological approaches. </w:t>
      </w:r>
      <w:r w:rsidR="00620763">
        <w:rPr>
          <w:rFonts w:ascii="Garamond" w:eastAsia="Times New Roman" w:hAnsi="Garamond" w:cs="Times New Roman"/>
          <w:kern w:val="0"/>
          <w:sz w:val="20"/>
          <w:szCs w:val="20"/>
          <w:lang w:val="en-US" w:eastAsia="it-IT"/>
          <w14:ligatures w14:val="none"/>
        </w:rPr>
        <w:t>We also</w:t>
      </w:r>
      <w:r w:rsidR="00D92D29" w:rsidRPr="00343BCC">
        <w:rPr>
          <w:rFonts w:ascii="Garamond" w:eastAsia="Times New Roman" w:hAnsi="Garamond" w:cs="Times New Roman"/>
          <w:kern w:val="0"/>
          <w:sz w:val="20"/>
          <w:szCs w:val="20"/>
          <w:lang w:val="en-US" w:eastAsia="it-IT"/>
          <w14:ligatures w14:val="none"/>
        </w:rPr>
        <w:t xml:space="preserve"> encourage innovative, provocative,</w:t>
      </w:r>
      <w:r w:rsidR="00620763">
        <w:rPr>
          <w:rFonts w:ascii="Garamond" w:eastAsia="Times New Roman" w:hAnsi="Garamond" w:cs="Times New Roman"/>
          <w:kern w:val="0"/>
          <w:sz w:val="20"/>
          <w:szCs w:val="20"/>
          <w:lang w:val="en-US" w:eastAsia="it-IT"/>
          <w14:ligatures w14:val="none"/>
        </w:rPr>
        <w:t xml:space="preserve"> and </w:t>
      </w:r>
      <w:r w:rsidR="00D92D29" w:rsidRPr="00343BCC">
        <w:rPr>
          <w:rFonts w:ascii="Garamond" w:eastAsia="Times New Roman" w:hAnsi="Garamond" w:cs="Times New Roman"/>
          <w:kern w:val="0"/>
          <w:sz w:val="20"/>
          <w:szCs w:val="20"/>
          <w:lang w:val="en-US" w:eastAsia="it-IT"/>
          <w14:ligatures w14:val="none"/>
        </w:rPr>
        <w:t>critical submissions</w:t>
      </w:r>
      <w:r w:rsidR="00620763">
        <w:rPr>
          <w:rFonts w:ascii="Garamond" w:eastAsia="Times New Roman" w:hAnsi="Garamond" w:cs="Times New Roman"/>
          <w:kern w:val="0"/>
          <w:sz w:val="20"/>
          <w:szCs w:val="20"/>
          <w:lang w:val="en-US" w:eastAsia="it-IT"/>
          <w14:ligatures w14:val="none"/>
        </w:rPr>
        <w:t>, including</w:t>
      </w:r>
      <w:r w:rsidR="00D92D29" w:rsidRPr="00343BCC">
        <w:rPr>
          <w:rFonts w:ascii="Garamond" w:eastAsia="Times New Roman" w:hAnsi="Garamond" w:cs="Times New Roman"/>
          <w:kern w:val="0"/>
          <w:sz w:val="20"/>
          <w:szCs w:val="20"/>
          <w:lang w:val="en-US" w:eastAsia="it-IT"/>
          <w14:ligatures w14:val="none"/>
        </w:rPr>
        <w:t xml:space="preserve"> case stud</w:t>
      </w:r>
      <w:r w:rsidR="00620763">
        <w:rPr>
          <w:rFonts w:ascii="Garamond" w:eastAsia="Times New Roman" w:hAnsi="Garamond" w:cs="Times New Roman"/>
          <w:kern w:val="0"/>
          <w:sz w:val="20"/>
          <w:szCs w:val="20"/>
          <w:lang w:val="en-US" w:eastAsia="it-IT"/>
          <w14:ligatures w14:val="none"/>
        </w:rPr>
        <w:t>ies, qualit</w:t>
      </w:r>
      <w:r w:rsidR="00F23E4E">
        <w:rPr>
          <w:rFonts w:ascii="Garamond" w:eastAsia="Times New Roman" w:hAnsi="Garamond" w:cs="Times New Roman"/>
          <w:kern w:val="0"/>
          <w:sz w:val="20"/>
          <w:szCs w:val="20"/>
          <w:lang w:val="en-US" w:eastAsia="it-IT"/>
          <w14:ligatures w14:val="none"/>
        </w:rPr>
        <w:t>ative</w:t>
      </w:r>
      <w:r w:rsidR="00620763">
        <w:rPr>
          <w:rFonts w:ascii="Garamond" w:eastAsia="Times New Roman" w:hAnsi="Garamond" w:cs="Times New Roman"/>
          <w:kern w:val="0"/>
          <w:sz w:val="20"/>
          <w:szCs w:val="20"/>
          <w:lang w:val="en-US" w:eastAsia="it-IT"/>
          <w14:ligatures w14:val="none"/>
        </w:rPr>
        <w:t xml:space="preserve"> and quantit</w:t>
      </w:r>
      <w:r w:rsidR="00F23E4E">
        <w:rPr>
          <w:rFonts w:ascii="Garamond" w:eastAsia="Times New Roman" w:hAnsi="Garamond" w:cs="Times New Roman"/>
          <w:kern w:val="0"/>
          <w:sz w:val="20"/>
          <w:szCs w:val="20"/>
          <w:lang w:val="en-US" w:eastAsia="it-IT"/>
          <w14:ligatures w14:val="none"/>
        </w:rPr>
        <w:t>ative</w:t>
      </w:r>
      <w:r w:rsidR="00620763">
        <w:rPr>
          <w:rFonts w:ascii="Garamond" w:eastAsia="Times New Roman" w:hAnsi="Garamond" w:cs="Times New Roman"/>
          <w:kern w:val="0"/>
          <w:sz w:val="20"/>
          <w:szCs w:val="20"/>
          <w:lang w:val="en-US" w:eastAsia="it-IT"/>
          <w14:ligatures w14:val="none"/>
        </w:rPr>
        <w:t xml:space="preserve"> studies, </w:t>
      </w:r>
      <w:proofErr w:type="spellStart"/>
      <w:r w:rsidR="00620763">
        <w:rPr>
          <w:rFonts w:ascii="Garamond" w:eastAsia="Times New Roman" w:hAnsi="Garamond" w:cs="Times New Roman"/>
          <w:kern w:val="0"/>
          <w:sz w:val="20"/>
          <w:szCs w:val="20"/>
          <w:lang w:val="en-US" w:eastAsia="it-IT"/>
          <w14:ligatures w14:val="none"/>
        </w:rPr>
        <w:t>Managers@Work</w:t>
      </w:r>
      <w:proofErr w:type="spellEnd"/>
      <w:r w:rsidR="00620763">
        <w:rPr>
          <w:rFonts w:ascii="Garamond" w:eastAsia="Times New Roman" w:hAnsi="Garamond" w:cs="Times New Roman"/>
          <w:kern w:val="0"/>
          <w:sz w:val="20"/>
          <w:szCs w:val="20"/>
          <w:lang w:val="en-US" w:eastAsia="it-IT"/>
          <w14:ligatures w14:val="none"/>
        </w:rPr>
        <w:t xml:space="preserve"> (an investigation of an ongoing project where one author works with the study company), and concepts or frameworks </w:t>
      </w:r>
      <w:r w:rsidR="00A97F13">
        <w:rPr>
          <w:rFonts w:ascii="Garamond" w:eastAsia="Times New Roman" w:hAnsi="Garamond" w:cs="Times New Roman"/>
          <w:kern w:val="0"/>
          <w:sz w:val="20"/>
          <w:szCs w:val="20"/>
          <w:lang w:val="en-US" w:eastAsia="it-IT"/>
          <w14:ligatures w14:val="none"/>
        </w:rPr>
        <w:t xml:space="preserve">that have been </w:t>
      </w:r>
      <w:r w:rsidR="00620763">
        <w:rPr>
          <w:rFonts w:ascii="Garamond" w:eastAsia="Times New Roman" w:hAnsi="Garamond" w:cs="Times New Roman"/>
          <w:kern w:val="0"/>
          <w:sz w:val="20"/>
          <w:szCs w:val="20"/>
          <w:lang w:val="en-US" w:eastAsia="it-IT"/>
          <w14:ligatures w14:val="none"/>
        </w:rPr>
        <w:t>tested in practice</w:t>
      </w:r>
      <w:r w:rsidR="00D92D29" w:rsidRPr="00343BCC">
        <w:rPr>
          <w:rFonts w:ascii="Garamond" w:eastAsia="Times New Roman" w:hAnsi="Garamond" w:cs="Times New Roman"/>
          <w:kern w:val="0"/>
          <w:sz w:val="20"/>
          <w:szCs w:val="20"/>
          <w:lang w:val="en-US" w:eastAsia="it-IT"/>
          <w14:ligatures w14:val="none"/>
        </w:rPr>
        <w:t>.</w:t>
      </w:r>
    </w:p>
    <w:p w14:paraId="3934308E" w14:textId="77777777" w:rsidR="00D92D29" w:rsidRPr="00343BCC" w:rsidRDefault="00D92D29" w:rsidP="00343BCC">
      <w:pPr>
        <w:rPr>
          <w:rFonts w:ascii="Garamond" w:eastAsia="Times New Roman" w:hAnsi="Garamond" w:cs="Times New Roman"/>
          <w:kern w:val="0"/>
          <w:sz w:val="20"/>
          <w:szCs w:val="20"/>
          <w:lang w:val="en-US" w:eastAsia="it-IT"/>
          <w14:ligatures w14:val="none"/>
        </w:rPr>
      </w:pPr>
    </w:p>
    <w:p w14:paraId="6AAC3C58" w14:textId="6D77B24C" w:rsidR="00D6111A" w:rsidRPr="00343BCC" w:rsidRDefault="00D6111A" w:rsidP="00343BCC">
      <w:pPr>
        <w:pStyle w:val="NormalWeb"/>
        <w:shd w:val="clear" w:color="auto" w:fill="FFFFFF"/>
        <w:spacing w:before="0" w:beforeAutospacing="0" w:after="0" w:afterAutospacing="0"/>
        <w:rPr>
          <w:rFonts w:ascii="Garamond" w:hAnsi="Garamond"/>
          <w:sz w:val="20"/>
          <w:szCs w:val="20"/>
          <w:lang w:val="en-US"/>
        </w:rPr>
      </w:pPr>
      <w:r w:rsidRPr="00343BCC">
        <w:rPr>
          <w:rFonts w:ascii="Garamond" w:hAnsi="Garamond"/>
          <w:i/>
          <w:iCs/>
          <w:sz w:val="20"/>
          <w:szCs w:val="20"/>
          <w:lang w:val="en-US"/>
        </w:rPr>
        <w:t xml:space="preserve">RTM </w:t>
      </w:r>
      <w:r w:rsidRPr="00343BCC">
        <w:rPr>
          <w:rFonts w:ascii="Garamond" w:hAnsi="Garamond"/>
          <w:sz w:val="20"/>
          <w:szCs w:val="20"/>
          <w:lang w:val="en-US"/>
        </w:rPr>
        <w:t>articles are concise and practice oriented. Submissions should demonstrate companies’ experiences, what’s changing, adaptations, and managerial lessons learned/practical implications. Ideal submissions offer concrete examples and data to support their topic. Successful submissions will offer readers practical information they can put to work immediately.</w:t>
      </w:r>
    </w:p>
    <w:p w14:paraId="6C93FD38" w14:textId="607360B0" w:rsidR="00D6111A" w:rsidRPr="00343BCC" w:rsidRDefault="00D6111A" w:rsidP="00343BCC">
      <w:pPr>
        <w:pStyle w:val="NormalWeb"/>
        <w:shd w:val="clear" w:color="auto" w:fill="FFFFFF"/>
        <w:spacing w:before="0" w:beforeAutospacing="0" w:after="0" w:afterAutospacing="0"/>
        <w:rPr>
          <w:rFonts w:ascii="Garamond" w:hAnsi="Garamond"/>
          <w:sz w:val="20"/>
          <w:szCs w:val="20"/>
          <w:lang w:val="en-US"/>
        </w:rPr>
      </w:pPr>
      <w:r w:rsidRPr="00343BCC">
        <w:rPr>
          <w:rFonts w:ascii="Garamond" w:hAnsi="Garamond"/>
          <w:sz w:val="20"/>
          <w:szCs w:val="20"/>
          <w:lang w:val="en-US"/>
        </w:rPr>
        <w:lastRenderedPageBreak/>
        <w:t xml:space="preserve">We prefer submissions at around 4,000–4,500 words. We will occasionally publish truly groundbreaking pieces as long as 5,000 words. Articles should be submitted via our Editorial Manager system at http://www.editorialmanager.com/rtm/. For submission requirements and author’s guidelines, visit www.tandfonline.com/urtm. Email questions to </w:t>
      </w:r>
      <w:r w:rsidRPr="00343BCC">
        <w:rPr>
          <w:rFonts w:ascii="Garamond" w:hAnsi="Garamond"/>
          <w:i/>
          <w:iCs/>
          <w:sz w:val="20"/>
          <w:szCs w:val="20"/>
          <w:lang w:val="en-US"/>
        </w:rPr>
        <w:t xml:space="preserve">RTM’s </w:t>
      </w:r>
      <w:r w:rsidRPr="00343BCC">
        <w:rPr>
          <w:rFonts w:ascii="Garamond" w:hAnsi="Garamond"/>
          <w:sz w:val="20"/>
          <w:szCs w:val="20"/>
          <w:lang w:val="en-US"/>
        </w:rPr>
        <w:t>managing editor, Tammy McCausland, at</w:t>
      </w:r>
      <w:r w:rsidR="00482E23" w:rsidRPr="00343BCC">
        <w:rPr>
          <w:rFonts w:ascii="Garamond" w:hAnsi="Garamond"/>
          <w:sz w:val="20"/>
          <w:szCs w:val="20"/>
          <w:lang w:val="en-US"/>
        </w:rPr>
        <w:t xml:space="preserve"> tmccausland@nam.org.</w:t>
      </w:r>
      <w:r w:rsidRPr="00343BCC">
        <w:rPr>
          <w:rFonts w:ascii="Garamond" w:hAnsi="Garamond"/>
          <w:sz w:val="20"/>
          <w:szCs w:val="20"/>
          <w:lang w:val="en-US"/>
        </w:rPr>
        <w:t xml:space="preserve"> </w:t>
      </w:r>
    </w:p>
    <w:p w14:paraId="71386B7B" w14:textId="77777777" w:rsidR="00D9794F" w:rsidRPr="00343BCC" w:rsidRDefault="00D9794F" w:rsidP="00FD06E1">
      <w:pPr>
        <w:jc w:val="both"/>
        <w:rPr>
          <w:rFonts w:ascii="Garamond" w:eastAsia="Times New Roman" w:hAnsi="Garamond" w:cs="Times New Roman"/>
          <w:kern w:val="0"/>
          <w:sz w:val="20"/>
          <w:szCs w:val="20"/>
          <w:lang w:val="en-US" w:eastAsia="it-IT"/>
          <w14:ligatures w14:val="none"/>
        </w:rPr>
      </w:pPr>
    </w:p>
    <w:p w14:paraId="06ACA257" w14:textId="2B314FC9" w:rsidR="00620763" w:rsidRDefault="00FD06E1" w:rsidP="00FD06E1">
      <w:pPr>
        <w:jc w:val="both"/>
        <w:rPr>
          <w:rFonts w:ascii="Garamond" w:eastAsia="Times New Roman" w:hAnsi="Garamond" w:cs="Times New Roman"/>
          <w:b/>
          <w:bCs/>
          <w:kern w:val="0"/>
          <w:sz w:val="20"/>
          <w:szCs w:val="20"/>
          <w:lang w:val="en-US" w:eastAsia="it-IT"/>
          <w14:ligatures w14:val="none"/>
        </w:rPr>
      </w:pPr>
      <w:r w:rsidRPr="00620763">
        <w:rPr>
          <w:rFonts w:ascii="Garamond" w:eastAsia="Times New Roman" w:hAnsi="Garamond" w:cs="Times New Roman"/>
          <w:b/>
          <w:bCs/>
          <w:kern w:val="0"/>
          <w:sz w:val="20"/>
          <w:szCs w:val="20"/>
          <w:lang w:val="en-US" w:eastAsia="it-IT"/>
          <w14:ligatures w14:val="none"/>
        </w:rPr>
        <w:t>References</w:t>
      </w:r>
    </w:p>
    <w:p w14:paraId="568E1BED" w14:textId="58BDBBCB" w:rsidR="00620763" w:rsidRPr="00F23E4E" w:rsidRDefault="00620763" w:rsidP="00FD06E1">
      <w:pPr>
        <w:jc w:val="both"/>
        <w:rPr>
          <w:rFonts w:ascii="Garamond" w:eastAsia="Times New Roman" w:hAnsi="Garamond" w:cs="Times New Roman"/>
          <w:kern w:val="0"/>
          <w:sz w:val="20"/>
          <w:szCs w:val="20"/>
          <w:lang w:val="en-US" w:eastAsia="it-IT"/>
          <w14:ligatures w14:val="none"/>
        </w:rPr>
      </w:pPr>
      <w:r w:rsidRPr="00F23E4E">
        <w:rPr>
          <w:rFonts w:ascii="Garamond" w:eastAsia="Times New Roman" w:hAnsi="Garamond" w:cs="Times New Roman"/>
          <w:kern w:val="0"/>
          <w:sz w:val="20"/>
          <w:szCs w:val="20"/>
          <w:lang w:val="en-US" w:eastAsia="it-IT"/>
          <w14:ligatures w14:val="none"/>
        </w:rPr>
        <w:t>We highlight</w:t>
      </w:r>
      <w:r>
        <w:rPr>
          <w:rFonts w:ascii="Garamond" w:eastAsia="Times New Roman" w:hAnsi="Garamond" w:cs="Times New Roman"/>
          <w:kern w:val="0"/>
          <w:sz w:val="20"/>
          <w:szCs w:val="20"/>
          <w:lang w:val="en-US" w:eastAsia="it-IT"/>
          <w14:ligatures w14:val="none"/>
        </w:rPr>
        <w:t xml:space="preserve"> relevant published research related to this topic</w:t>
      </w:r>
      <w:r w:rsidR="00CC2948">
        <w:rPr>
          <w:rFonts w:ascii="Garamond" w:eastAsia="Times New Roman" w:hAnsi="Garamond" w:cs="Times New Roman"/>
          <w:kern w:val="0"/>
          <w:sz w:val="20"/>
          <w:szCs w:val="20"/>
          <w:lang w:val="en-US" w:eastAsia="it-IT"/>
          <w14:ligatures w14:val="none"/>
        </w:rPr>
        <w:t>:</w:t>
      </w:r>
    </w:p>
    <w:p w14:paraId="3065CA17" w14:textId="77777777" w:rsidR="00620763" w:rsidRPr="00620763" w:rsidRDefault="00620763" w:rsidP="00FD06E1">
      <w:pPr>
        <w:jc w:val="both"/>
        <w:rPr>
          <w:rFonts w:ascii="Garamond" w:eastAsia="Times New Roman" w:hAnsi="Garamond" w:cs="Times New Roman"/>
          <w:b/>
          <w:bCs/>
          <w:kern w:val="0"/>
          <w:sz w:val="20"/>
          <w:szCs w:val="20"/>
          <w:lang w:val="en-US" w:eastAsia="it-IT"/>
          <w14:ligatures w14:val="none"/>
        </w:rPr>
      </w:pPr>
    </w:p>
    <w:p w14:paraId="2495BF66" w14:textId="3E53F31C" w:rsidR="00FD06E1" w:rsidRPr="00CC2948" w:rsidRDefault="00FD06E1" w:rsidP="00CC2948">
      <w:pPr>
        <w:rPr>
          <w:rFonts w:ascii="Garamond" w:eastAsia="Times New Roman" w:hAnsi="Garamond" w:cs="Times New Roman"/>
          <w:kern w:val="0"/>
          <w:sz w:val="20"/>
          <w:szCs w:val="20"/>
          <w:lang w:val="en-US" w:eastAsia="it-IT"/>
          <w14:ligatures w14:val="none"/>
        </w:rPr>
      </w:pPr>
      <w:r w:rsidRPr="00CC2948">
        <w:rPr>
          <w:rFonts w:ascii="Garamond" w:hAnsi="Garamond"/>
          <w:sz w:val="20"/>
          <w:szCs w:val="20"/>
          <w:lang w:val="en-US"/>
        </w:rPr>
        <w:t xml:space="preserve">Berglund, H., </w:t>
      </w:r>
      <w:proofErr w:type="spellStart"/>
      <w:r w:rsidRPr="00CC2948">
        <w:rPr>
          <w:rFonts w:ascii="Garamond" w:hAnsi="Garamond"/>
          <w:sz w:val="20"/>
          <w:szCs w:val="20"/>
          <w:lang w:val="en-US"/>
        </w:rPr>
        <w:t>Bousfiha</w:t>
      </w:r>
      <w:proofErr w:type="spellEnd"/>
      <w:r w:rsidRPr="00CC2948">
        <w:rPr>
          <w:rFonts w:ascii="Garamond" w:hAnsi="Garamond"/>
          <w:sz w:val="20"/>
          <w:szCs w:val="20"/>
          <w:lang w:val="en-US"/>
        </w:rPr>
        <w:t xml:space="preserve">, M., </w:t>
      </w:r>
      <w:r w:rsidR="00620763" w:rsidRPr="00CC2948">
        <w:rPr>
          <w:rFonts w:ascii="Garamond" w:hAnsi="Garamond"/>
          <w:sz w:val="20"/>
          <w:szCs w:val="20"/>
          <w:lang w:val="en-US"/>
        </w:rPr>
        <w:t>and</w:t>
      </w:r>
      <w:r w:rsidRPr="00CC2948">
        <w:rPr>
          <w:rFonts w:ascii="Garamond" w:hAnsi="Garamond"/>
          <w:sz w:val="20"/>
          <w:szCs w:val="20"/>
          <w:lang w:val="en-US"/>
        </w:rPr>
        <w:t xml:space="preserve"> Mansoori, Y. 2020. Opportunities as artifacts and entrepreneurship as design. </w:t>
      </w:r>
      <w:r w:rsidRPr="00CC2948">
        <w:rPr>
          <w:rFonts w:ascii="Garamond" w:hAnsi="Garamond"/>
          <w:i/>
          <w:iCs/>
          <w:sz w:val="20"/>
          <w:szCs w:val="20"/>
          <w:lang w:val="en-US"/>
        </w:rPr>
        <w:t>Academy of Management Review</w:t>
      </w:r>
      <w:r w:rsidRPr="00CC2948">
        <w:rPr>
          <w:rFonts w:ascii="Garamond" w:hAnsi="Garamond"/>
          <w:sz w:val="20"/>
          <w:szCs w:val="20"/>
          <w:lang w:val="en-US"/>
        </w:rPr>
        <w:t xml:space="preserve"> 45(4)</w:t>
      </w:r>
      <w:r w:rsidR="00620763" w:rsidRPr="00CC2948">
        <w:rPr>
          <w:rFonts w:ascii="Garamond" w:hAnsi="Garamond"/>
          <w:sz w:val="20"/>
          <w:szCs w:val="20"/>
          <w:lang w:val="en-US"/>
        </w:rPr>
        <w:t>:</w:t>
      </w:r>
      <w:r w:rsidRPr="00CC2948">
        <w:rPr>
          <w:rFonts w:ascii="Garamond" w:hAnsi="Garamond"/>
          <w:sz w:val="20"/>
          <w:szCs w:val="20"/>
          <w:lang w:val="en-US"/>
        </w:rPr>
        <w:t xml:space="preserve"> 825</w:t>
      </w:r>
      <w:r w:rsidR="00620763" w:rsidRPr="00CC2948">
        <w:rPr>
          <w:rFonts w:ascii="Garamond" w:hAnsi="Garamond"/>
          <w:sz w:val="20"/>
          <w:szCs w:val="20"/>
          <w:lang w:val="en-US"/>
        </w:rPr>
        <w:t>–</w:t>
      </w:r>
      <w:r w:rsidRPr="00CC2948">
        <w:rPr>
          <w:rFonts w:ascii="Garamond" w:hAnsi="Garamond"/>
          <w:sz w:val="20"/>
          <w:szCs w:val="20"/>
          <w:lang w:val="en-US"/>
        </w:rPr>
        <w:t>846.</w:t>
      </w:r>
      <w:r w:rsidR="00620763" w:rsidRPr="00CC2948">
        <w:rPr>
          <w:rFonts w:ascii="Garamond" w:hAnsi="Garamond"/>
          <w:sz w:val="20"/>
          <w:szCs w:val="20"/>
          <w:lang w:val="en-US"/>
        </w:rPr>
        <w:t xml:space="preserve"> </w:t>
      </w:r>
      <w:hyperlink r:id="rId8" w:history="1">
        <w:r w:rsidR="00620763" w:rsidRPr="003B0CD9">
          <w:rPr>
            <w:rStyle w:val="Hyperlink"/>
            <w:rFonts w:ascii="Garamond" w:hAnsi="Garamond"/>
            <w:color w:val="000000" w:themeColor="text1"/>
            <w:sz w:val="20"/>
            <w:szCs w:val="20"/>
            <w:lang w:val="en-GB"/>
          </w:rPr>
          <w:t>https://doi.org/10.5465/amr.2018.0285</w:t>
        </w:r>
      </w:hyperlink>
    </w:p>
    <w:p w14:paraId="30640488" w14:textId="77777777" w:rsidR="00CC2948" w:rsidRDefault="00CC2948" w:rsidP="00CC2948">
      <w:pPr>
        <w:rPr>
          <w:rFonts w:ascii="Garamond" w:hAnsi="Garamond"/>
          <w:sz w:val="20"/>
          <w:szCs w:val="20"/>
          <w:lang w:val="en-US"/>
        </w:rPr>
      </w:pPr>
    </w:p>
    <w:p w14:paraId="5E1662C0" w14:textId="77777777" w:rsidR="00CC2948" w:rsidRDefault="00FD06E1" w:rsidP="00CC2948">
      <w:pPr>
        <w:rPr>
          <w:rFonts w:ascii="Garamond" w:eastAsia="Times New Roman" w:hAnsi="Garamond" w:cs="Times New Roman"/>
          <w:kern w:val="0"/>
          <w:sz w:val="20"/>
          <w:szCs w:val="20"/>
          <w:lang w:val="en-US" w:eastAsia="it-IT"/>
          <w14:ligatures w14:val="none"/>
        </w:rPr>
      </w:pPr>
      <w:proofErr w:type="spellStart"/>
      <w:r w:rsidRPr="00CC2948">
        <w:rPr>
          <w:rFonts w:ascii="Garamond" w:hAnsi="Garamond"/>
          <w:sz w:val="20"/>
          <w:szCs w:val="20"/>
          <w:lang w:val="en-US"/>
        </w:rPr>
        <w:t>Bühring</w:t>
      </w:r>
      <w:proofErr w:type="spellEnd"/>
      <w:r w:rsidRPr="00CC2948">
        <w:rPr>
          <w:rFonts w:ascii="Garamond" w:hAnsi="Garamond"/>
          <w:sz w:val="20"/>
          <w:szCs w:val="20"/>
          <w:lang w:val="en-US"/>
        </w:rPr>
        <w:t xml:space="preserve">, J., </w:t>
      </w:r>
      <w:r w:rsidR="00620763" w:rsidRPr="00CC2948">
        <w:rPr>
          <w:rFonts w:ascii="Garamond" w:hAnsi="Garamond"/>
          <w:sz w:val="20"/>
          <w:szCs w:val="20"/>
          <w:lang w:val="en-US"/>
        </w:rPr>
        <w:t>and</w:t>
      </w:r>
      <w:r w:rsidRPr="00CC2948">
        <w:rPr>
          <w:rFonts w:ascii="Garamond" w:hAnsi="Garamond"/>
          <w:sz w:val="20"/>
          <w:szCs w:val="20"/>
          <w:lang w:val="en-US"/>
        </w:rPr>
        <w:t xml:space="preserve"> Liedtka, J. </w:t>
      </w:r>
      <w:r w:rsidR="00620763" w:rsidRPr="00CC2948">
        <w:rPr>
          <w:rFonts w:ascii="Garamond" w:hAnsi="Garamond"/>
          <w:sz w:val="20"/>
          <w:szCs w:val="20"/>
          <w:lang w:val="en-US"/>
        </w:rPr>
        <w:t>2</w:t>
      </w:r>
      <w:r w:rsidRPr="00CC2948">
        <w:rPr>
          <w:rFonts w:ascii="Garamond" w:hAnsi="Garamond"/>
          <w:sz w:val="20"/>
          <w:szCs w:val="20"/>
          <w:lang w:val="en-US"/>
        </w:rPr>
        <w:t xml:space="preserve">018. Embracing systematic futures thinking at the intersection of </w:t>
      </w:r>
      <w:r w:rsidR="00620763" w:rsidRPr="00CC2948">
        <w:rPr>
          <w:rFonts w:ascii="Garamond" w:hAnsi="Garamond"/>
          <w:sz w:val="20"/>
          <w:szCs w:val="20"/>
          <w:lang w:val="en-US"/>
        </w:rPr>
        <w:t>s</w:t>
      </w:r>
      <w:r w:rsidRPr="00CC2948">
        <w:rPr>
          <w:rFonts w:ascii="Garamond" w:hAnsi="Garamond"/>
          <w:sz w:val="20"/>
          <w:szCs w:val="20"/>
          <w:lang w:val="en-US"/>
        </w:rPr>
        <w:t xml:space="preserve">trategic </w:t>
      </w:r>
      <w:r w:rsidR="00620763" w:rsidRPr="00CC2948">
        <w:rPr>
          <w:rFonts w:ascii="Garamond" w:hAnsi="Garamond"/>
          <w:sz w:val="20"/>
          <w:szCs w:val="20"/>
          <w:lang w:val="en-US"/>
        </w:rPr>
        <w:t>p</w:t>
      </w:r>
      <w:r w:rsidRPr="00CC2948">
        <w:rPr>
          <w:rFonts w:ascii="Garamond" w:hAnsi="Garamond"/>
          <w:sz w:val="20"/>
          <w:szCs w:val="20"/>
          <w:lang w:val="en-US"/>
        </w:rPr>
        <w:t xml:space="preserve">lanning, </w:t>
      </w:r>
      <w:r w:rsidR="00620763" w:rsidRPr="00CC2948">
        <w:rPr>
          <w:rFonts w:ascii="Garamond" w:hAnsi="Garamond"/>
          <w:sz w:val="20"/>
          <w:szCs w:val="20"/>
          <w:lang w:val="en-US"/>
        </w:rPr>
        <w:t>f</w:t>
      </w:r>
      <w:r w:rsidRPr="00CC2948">
        <w:rPr>
          <w:rFonts w:ascii="Garamond" w:hAnsi="Garamond"/>
          <w:sz w:val="20"/>
          <w:szCs w:val="20"/>
          <w:lang w:val="en-US"/>
        </w:rPr>
        <w:t xml:space="preserve">oresight and </w:t>
      </w:r>
      <w:r w:rsidR="00620763" w:rsidRPr="00CC2948">
        <w:rPr>
          <w:rFonts w:ascii="Garamond" w:hAnsi="Garamond"/>
          <w:sz w:val="20"/>
          <w:szCs w:val="20"/>
          <w:lang w:val="en-US"/>
        </w:rPr>
        <w:t>d</w:t>
      </w:r>
      <w:r w:rsidRPr="00CC2948">
        <w:rPr>
          <w:rFonts w:ascii="Garamond" w:hAnsi="Garamond"/>
          <w:sz w:val="20"/>
          <w:szCs w:val="20"/>
          <w:lang w:val="en-US"/>
        </w:rPr>
        <w:t>esign</w:t>
      </w:r>
      <w:r w:rsidR="00620763" w:rsidRPr="00CC2948">
        <w:rPr>
          <w:rFonts w:ascii="Garamond" w:hAnsi="Garamond"/>
          <w:sz w:val="20"/>
          <w:szCs w:val="20"/>
          <w:lang w:val="en-US"/>
        </w:rPr>
        <w:t>.</w:t>
      </w:r>
      <w:r w:rsidRPr="00CC2948">
        <w:rPr>
          <w:rFonts w:ascii="Garamond" w:hAnsi="Garamond"/>
          <w:sz w:val="20"/>
          <w:szCs w:val="20"/>
          <w:lang w:val="en-US"/>
        </w:rPr>
        <w:t xml:space="preserve"> </w:t>
      </w:r>
      <w:r w:rsidRPr="00CC2948">
        <w:rPr>
          <w:rFonts w:ascii="Garamond" w:hAnsi="Garamond"/>
          <w:i/>
          <w:iCs/>
          <w:sz w:val="20"/>
          <w:szCs w:val="20"/>
          <w:lang w:val="en-US"/>
        </w:rPr>
        <w:t>Journal of Innovation Management</w:t>
      </w:r>
      <w:r w:rsidRPr="00CC2948">
        <w:rPr>
          <w:rFonts w:ascii="Garamond" w:hAnsi="Garamond"/>
          <w:sz w:val="20"/>
          <w:szCs w:val="20"/>
          <w:lang w:val="en-US"/>
        </w:rPr>
        <w:t xml:space="preserve"> 6(3)</w:t>
      </w:r>
      <w:r w:rsidR="00620763" w:rsidRPr="00CC2948">
        <w:rPr>
          <w:rFonts w:ascii="Garamond" w:hAnsi="Garamond"/>
          <w:sz w:val="20"/>
          <w:szCs w:val="20"/>
          <w:lang w:val="en-US"/>
        </w:rPr>
        <w:t>:</w:t>
      </w:r>
      <w:r w:rsidRPr="00CC2948">
        <w:rPr>
          <w:rFonts w:ascii="Garamond" w:hAnsi="Garamond"/>
          <w:sz w:val="20"/>
          <w:szCs w:val="20"/>
          <w:lang w:val="en-US"/>
        </w:rPr>
        <w:t xml:space="preserve"> 134</w:t>
      </w:r>
      <w:r w:rsidR="00620763" w:rsidRPr="00CC2948">
        <w:rPr>
          <w:rFonts w:ascii="Garamond" w:hAnsi="Garamond"/>
          <w:sz w:val="20"/>
          <w:szCs w:val="20"/>
          <w:lang w:val="en-US"/>
        </w:rPr>
        <w:t>–</w:t>
      </w:r>
      <w:r w:rsidRPr="00CC2948">
        <w:rPr>
          <w:rFonts w:ascii="Garamond" w:hAnsi="Garamond"/>
          <w:sz w:val="20"/>
          <w:szCs w:val="20"/>
          <w:lang w:val="en-US"/>
        </w:rPr>
        <w:t>152.</w:t>
      </w:r>
      <w:r w:rsidR="007B0EB3" w:rsidRPr="00CC2948">
        <w:rPr>
          <w:rFonts w:ascii="Garamond" w:hAnsi="Garamond"/>
          <w:sz w:val="20"/>
          <w:szCs w:val="20"/>
          <w:lang w:val="en-US"/>
        </w:rPr>
        <w:t xml:space="preserve"> Doi: 10.24840/2183-0606_006.003_0006</w:t>
      </w:r>
    </w:p>
    <w:p w14:paraId="2DD0EC1F" w14:textId="77777777" w:rsidR="00CC2948" w:rsidRDefault="00CC2948" w:rsidP="00CC2948">
      <w:pPr>
        <w:rPr>
          <w:rFonts w:ascii="Garamond" w:eastAsia="Times New Roman" w:hAnsi="Garamond" w:cs="Times New Roman"/>
          <w:kern w:val="0"/>
          <w:sz w:val="20"/>
          <w:szCs w:val="20"/>
          <w:lang w:val="en-US" w:eastAsia="it-IT"/>
          <w14:ligatures w14:val="none"/>
        </w:rPr>
      </w:pPr>
    </w:p>
    <w:p w14:paraId="2F42489C" w14:textId="52700086" w:rsidR="007B0EB3" w:rsidRPr="00CC2948" w:rsidRDefault="00FD06E1" w:rsidP="00CC2948">
      <w:pPr>
        <w:rPr>
          <w:rFonts w:ascii="Garamond" w:eastAsia="Times New Roman" w:hAnsi="Garamond" w:cs="Times New Roman"/>
          <w:kern w:val="0"/>
          <w:sz w:val="20"/>
          <w:szCs w:val="20"/>
          <w:lang w:val="en-US" w:eastAsia="it-IT"/>
          <w14:ligatures w14:val="none"/>
        </w:rPr>
      </w:pPr>
      <w:proofErr w:type="spellStart"/>
      <w:r w:rsidRPr="00CC2948">
        <w:rPr>
          <w:rFonts w:ascii="Garamond" w:eastAsia="Times New Roman" w:hAnsi="Garamond" w:cs="Times New Roman"/>
          <w:kern w:val="0"/>
          <w:sz w:val="20"/>
          <w:szCs w:val="20"/>
          <w:lang w:val="en-US" w:eastAsia="it-IT"/>
          <w14:ligatures w14:val="none"/>
        </w:rPr>
        <w:t>Ehls</w:t>
      </w:r>
      <w:proofErr w:type="spellEnd"/>
      <w:r w:rsidRPr="00CC2948">
        <w:rPr>
          <w:rFonts w:ascii="Garamond" w:eastAsia="Times New Roman" w:hAnsi="Garamond" w:cs="Times New Roman"/>
          <w:kern w:val="0"/>
          <w:sz w:val="20"/>
          <w:szCs w:val="20"/>
          <w:lang w:val="en-US" w:eastAsia="it-IT"/>
          <w14:ligatures w14:val="none"/>
        </w:rPr>
        <w:t xml:space="preserve">, D., Gordon, A. V., </w:t>
      </w:r>
      <w:proofErr w:type="spellStart"/>
      <w:r w:rsidRPr="00CC2948">
        <w:rPr>
          <w:rFonts w:ascii="Garamond" w:eastAsia="Times New Roman" w:hAnsi="Garamond" w:cs="Times New Roman"/>
          <w:kern w:val="0"/>
          <w:sz w:val="20"/>
          <w:szCs w:val="20"/>
          <w:lang w:val="en-US" w:eastAsia="it-IT"/>
          <w14:ligatures w14:val="none"/>
        </w:rPr>
        <w:t>Herstatt</w:t>
      </w:r>
      <w:proofErr w:type="spellEnd"/>
      <w:r w:rsidRPr="00CC2948">
        <w:rPr>
          <w:rFonts w:ascii="Garamond" w:eastAsia="Times New Roman" w:hAnsi="Garamond" w:cs="Times New Roman"/>
          <w:kern w:val="0"/>
          <w:sz w:val="20"/>
          <w:szCs w:val="20"/>
          <w:lang w:val="en-US" w:eastAsia="it-IT"/>
          <w14:ligatures w14:val="none"/>
        </w:rPr>
        <w:t xml:space="preserve">, C., and Rohrbeck, R. 2022. Guest </w:t>
      </w:r>
      <w:r w:rsidR="007B0EB3" w:rsidRPr="00CC2948">
        <w:rPr>
          <w:rFonts w:ascii="Garamond" w:eastAsia="Times New Roman" w:hAnsi="Garamond" w:cs="Times New Roman"/>
          <w:kern w:val="0"/>
          <w:sz w:val="20"/>
          <w:szCs w:val="20"/>
          <w:lang w:val="en-US" w:eastAsia="it-IT"/>
          <w14:ligatures w14:val="none"/>
        </w:rPr>
        <w:t>e</w:t>
      </w:r>
      <w:r w:rsidRPr="00CC2948">
        <w:rPr>
          <w:rFonts w:ascii="Garamond" w:eastAsia="Times New Roman" w:hAnsi="Garamond" w:cs="Times New Roman"/>
          <w:kern w:val="0"/>
          <w:sz w:val="20"/>
          <w:szCs w:val="20"/>
          <w:lang w:val="en-US" w:eastAsia="it-IT"/>
          <w14:ligatures w14:val="none"/>
        </w:rPr>
        <w:t xml:space="preserve">ditorial: Foresight in </w:t>
      </w:r>
      <w:r w:rsidR="007B0EB3" w:rsidRPr="00CC2948">
        <w:rPr>
          <w:rFonts w:ascii="Garamond" w:eastAsia="Times New Roman" w:hAnsi="Garamond" w:cs="Times New Roman"/>
          <w:kern w:val="0"/>
          <w:sz w:val="20"/>
          <w:szCs w:val="20"/>
          <w:lang w:val="en-US" w:eastAsia="it-IT"/>
          <w14:ligatures w14:val="none"/>
        </w:rPr>
        <w:t>s</w:t>
      </w:r>
      <w:r w:rsidRPr="00CC2948">
        <w:rPr>
          <w:rFonts w:ascii="Garamond" w:eastAsia="Times New Roman" w:hAnsi="Garamond" w:cs="Times New Roman"/>
          <w:kern w:val="0"/>
          <w:sz w:val="20"/>
          <w:szCs w:val="20"/>
          <w:lang w:val="en-US" w:eastAsia="it-IT"/>
          <w14:ligatures w14:val="none"/>
        </w:rPr>
        <w:t xml:space="preserve">trategy and </w:t>
      </w:r>
      <w:r w:rsidR="007B0EB3" w:rsidRPr="00CC2948">
        <w:rPr>
          <w:rFonts w:ascii="Garamond" w:eastAsia="Times New Roman" w:hAnsi="Garamond" w:cs="Times New Roman"/>
          <w:kern w:val="0"/>
          <w:sz w:val="20"/>
          <w:szCs w:val="20"/>
          <w:lang w:val="en-US" w:eastAsia="it-IT"/>
          <w14:ligatures w14:val="none"/>
        </w:rPr>
        <w:t>i</w:t>
      </w:r>
      <w:r w:rsidRPr="00CC2948">
        <w:rPr>
          <w:rFonts w:ascii="Garamond" w:eastAsia="Times New Roman" w:hAnsi="Garamond" w:cs="Times New Roman"/>
          <w:kern w:val="0"/>
          <w:sz w:val="20"/>
          <w:szCs w:val="20"/>
          <w:lang w:val="en-US" w:eastAsia="it-IT"/>
          <w14:ligatures w14:val="none"/>
        </w:rPr>
        <w:t xml:space="preserve">nnovation </w:t>
      </w:r>
      <w:r w:rsidR="007B0EB3" w:rsidRPr="00CC2948">
        <w:rPr>
          <w:rFonts w:ascii="Garamond" w:eastAsia="Times New Roman" w:hAnsi="Garamond" w:cs="Times New Roman"/>
          <w:kern w:val="0"/>
          <w:sz w:val="20"/>
          <w:szCs w:val="20"/>
          <w:lang w:val="en-US" w:eastAsia="it-IT"/>
          <w14:ligatures w14:val="none"/>
        </w:rPr>
        <w:t>m</w:t>
      </w:r>
      <w:r w:rsidRPr="00CC2948">
        <w:rPr>
          <w:rFonts w:ascii="Garamond" w:eastAsia="Times New Roman" w:hAnsi="Garamond" w:cs="Times New Roman"/>
          <w:kern w:val="0"/>
          <w:sz w:val="20"/>
          <w:szCs w:val="20"/>
          <w:lang w:val="en-US" w:eastAsia="it-IT"/>
          <w14:ligatures w14:val="none"/>
        </w:rPr>
        <w:t xml:space="preserve">anagement. </w:t>
      </w:r>
      <w:r w:rsidRPr="00CC2948">
        <w:rPr>
          <w:rFonts w:ascii="Garamond" w:eastAsia="Times New Roman" w:hAnsi="Garamond" w:cs="Times New Roman"/>
          <w:i/>
          <w:iCs/>
          <w:kern w:val="0"/>
          <w:sz w:val="20"/>
          <w:szCs w:val="20"/>
          <w:lang w:val="en-US" w:eastAsia="it-IT"/>
          <w14:ligatures w14:val="none"/>
        </w:rPr>
        <w:t xml:space="preserve">IEEE </w:t>
      </w:r>
      <w:r w:rsidR="007B0EB3" w:rsidRPr="00CC2948">
        <w:rPr>
          <w:rFonts w:ascii="Garamond" w:eastAsia="Times New Roman" w:hAnsi="Garamond" w:cs="Times New Roman"/>
          <w:i/>
          <w:iCs/>
          <w:kern w:val="0"/>
          <w:sz w:val="20"/>
          <w:szCs w:val="20"/>
          <w:lang w:val="en-US" w:eastAsia="it-IT"/>
          <w14:ligatures w14:val="none"/>
        </w:rPr>
        <w:t>T</w:t>
      </w:r>
      <w:r w:rsidRPr="00CC2948">
        <w:rPr>
          <w:rFonts w:ascii="Garamond" w:eastAsia="Times New Roman" w:hAnsi="Garamond" w:cs="Times New Roman"/>
          <w:i/>
          <w:iCs/>
          <w:kern w:val="0"/>
          <w:sz w:val="20"/>
          <w:szCs w:val="20"/>
          <w:lang w:val="en-US" w:eastAsia="it-IT"/>
          <w14:ligatures w14:val="none"/>
        </w:rPr>
        <w:t xml:space="preserve">ransactions on </w:t>
      </w:r>
      <w:r w:rsidR="007B0EB3" w:rsidRPr="00CC2948">
        <w:rPr>
          <w:rFonts w:ascii="Garamond" w:eastAsia="Times New Roman" w:hAnsi="Garamond" w:cs="Times New Roman"/>
          <w:i/>
          <w:iCs/>
          <w:kern w:val="0"/>
          <w:sz w:val="20"/>
          <w:szCs w:val="20"/>
          <w:lang w:val="en-US" w:eastAsia="it-IT"/>
          <w14:ligatures w14:val="none"/>
        </w:rPr>
        <w:t>E</w:t>
      </w:r>
      <w:r w:rsidRPr="00CC2948">
        <w:rPr>
          <w:rFonts w:ascii="Garamond" w:eastAsia="Times New Roman" w:hAnsi="Garamond" w:cs="Times New Roman"/>
          <w:i/>
          <w:iCs/>
          <w:kern w:val="0"/>
          <w:sz w:val="20"/>
          <w:szCs w:val="20"/>
          <w:lang w:val="en-US" w:eastAsia="it-IT"/>
          <w14:ligatures w14:val="none"/>
        </w:rPr>
        <w:t xml:space="preserve">ngineering </w:t>
      </w:r>
      <w:r w:rsidR="007B0EB3" w:rsidRPr="00CC2948">
        <w:rPr>
          <w:rFonts w:ascii="Garamond" w:eastAsia="Times New Roman" w:hAnsi="Garamond" w:cs="Times New Roman"/>
          <w:i/>
          <w:iCs/>
          <w:kern w:val="0"/>
          <w:sz w:val="20"/>
          <w:szCs w:val="20"/>
          <w:lang w:val="en-US" w:eastAsia="it-IT"/>
          <w14:ligatures w14:val="none"/>
        </w:rPr>
        <w:t>M</w:t>
      </w:r>
      <w:r w:rsidRPr="00CC2948">
        <w:rPr>
          <w:rFonts w:ascii="Garamond" w:eastAsia="Times New Roman" w:hAnsi="Garamond" w:cs="Times New Roman"/>
          <w:i/>
          <w:iCs/>
          <w:kern w:val="0"/>
          <w:sz w:val="20"/>
          <w:szCs w:val="20"/>
          <w:lang w:val="en-US" w:eastAsia="it-IT"/>
          <w14:ligatures w14:val="none"/>
        </w:rPr>
        <w:t>anagement</w:t>
      </w:r>
      <w:r w:rsidR="007B0EB3" w:rsidRPr="00CC2948">
        <w:rPr>
          <w:rFonts w:ascii="Garamond" w:eastAsia="Times New Roman" w:hAnsi="Garamond" w:cs="Times New Roman"/>
          <w:kern w:val="0"/>
          <w:sz w:val="20"/>
          <w:szCs w:val="20"/>
          <w:lang w:val="en-US" w:eastAsia="it-IT"/>
          <w14:ligatures w14:val="none"/>
        </w:rPr>
        <w:t xml:space="preserve"> </w:t>
      </w:r>
      <w:r w:rsidRPr="00CC2948">
        <w:rPr>
          <w:rFonts w:ascii="Garamond" w:eastAsia="Times New Roman" w:hAnsi="Garamond" w:cs="Times New Roman"/>
          <w:kern w:val="0"/>
          <w:sz w:val="20"/>
          <w:szCs w:val="20"/>
          <w:lang w:val="en-US" w:eastAsia="it-IT"/>
          <w14:ligatures w14:val="none"/>
        </w:rPr>
        <w:t>69(2)</w:t>
      </w:r>
      <w:r w:rsidR="007B0EB3" w:rsidRP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 xml:space="preserve"> 483</w:t>
      </w:r>
      <w:r w:rsidR="007B0EB3" w:rsidRP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492.</w:t>
      </w:r>
      <w:r w:rsidR="007B0EB3" w:rsidRPr="00CC2948">
        <w:rPr>
          <w:rFonts w:ascii="Garamond" w:eastAsia="Times New Roman" w:hAnsi="Garamond" w:cs="Times New Roman"/>
          <w:kern w:val="0"/>
          <w:sz w:val="20"/>
          <w:szCs w:val="20"/>
          <w:lang w:val="en-US" w:eastAsia="it-IT"/>
          <w14:ligatures w14:val="none"/>
        </w:rPr>
        <w:t xml:space="preserve"> Doi: </w:t>
      </w:r>
      <w:hyperlink r:id="rId9" w:tgtFrame="_blank" w:history="1">
        <w:r w:rsidR="007B0EB3" w:rsidRPr="003B0CD9">
          <w:rPr>
            <w:rStyle w:val="Hyperlink"/>
            <w:rFonts w:ascii="Garamond" w:eastAsia="Times New Roman" w:hAnsi="Garamond" w:cs="Times New Roman"/>
            <w:color w:val="000000" w:themeColor="text1"/>
            <w:kern w:val="0"/>
            <w:sz w:val="20"/>
            <w:szCs w:val="20"/>
            <w:lang w:val="en-GB" w:eastAsia="it-IT"/>
            <w14:ligatures w14:val="none"/>
          </w:rPr>
          <w:t>10.1109/TEM.2021.3077342</w:t>
        </w:r>
      </w:hyperlink>
    </w:p>
    <w:p w14:paraId="4B63F830" w14:textId="77777777" w:rsidR="00CC2948" w:rsidRDefault="00CC2948" w:rsidP="00CC2948">
      <w:pPr>
        <w:rPr>
          <w:rFonts w:ascii="Garamond" w:eastAsia="Times New Roman" w:hAnsi="Garamond" w:cs="Times New Roman"/>
          <w:kern w:val="0"/>
          <w:sz w:val="20"/>
          <w:szCs w:val="20"/>
          <w:lang w:val="en-US" w:eastAsia="it-IT"/>
          <w14:ligatures w14:val="none"/>
        </w:rPr>
      </w:pPr>
    </w:p>
    <w:p w14:paraId="69DB75EE" w14:textId="5E430000" w:rsidR="00FD06E1" w:rsidRPr="00CC2948" w:rsidRDefault="00FD06E1" w:rsidP="00CC2948">
      <w:pPr>
        <w:rPr>
          <w:rFonts w:ascii="Garamond" w:eastAsia="Times New Roman" w:hAnsi="Garamond" w:cs="Times New Roman"/>
          <w:kern w:val="0"/>
          <w:sz w:val="20"/>
          <w:szCs w:val="20"/>
          <w:lang w:val="en-US" w:eastAsia="it-IT"/>
          <w14:ligatures w14:val="none"/>
        </w:rPr>
      </w:pPr>
      <w:r w:rsidRPr="00CC2948">
        <w:rPr>
          <w:rFonts w:ascii="Garamond" w:eastAsia="Times New Roman" w:hAnsi="Garamond" w:cs="Times New Roman"/>
          <w:kern w:val="0"/>
          <w:sz w:val="20"/>
          <w:szCs w:val="20"/>
          <w:lang w:val="en-US" w:eastAsia="it-IT"/>
          <w14:ligatures w14:val="none"/>
        </w:rPr>
        <w:t xml:space="preserve">Gama, F., </w:t>
      </w:r>
      <w:r w:rsidR="007B0EB3" w:rsidRPr="00CC2948">
        <w:rPr>
          <w:rFonts w:ascii="Garamond" w:eastAsia="Times New Roman" w:hAnsi="Garamond" w:cs="Times New Roman"/>
          <w:kern w:val="0"/>
          <w:sz w:val="20"/>
          <w:szCs w:val="20"/>
          <w:lang w:val="en-US" w:eastAsia="it-IT"/>
          <w14:ligatures w14:val="none"/>
        </w:rPr>
        <w:t>and</w:t>
      </w:r>
      <w:r w:rsidRPr="00CC2948">
        <w:rPr>
          <w:rFonts w:ascii="Garamond" w:eastAsia="Times New Roman" w:hAnsi="Garamond" w:cs="Times New Roman"/>
          <w:kern w:val="0"/>
          <w:sz w:val="20"/>
          <w:szCs w:val="20"/>
          <w:lang w:val="en-US" w:eastAsia="it-IT"/>
          <w14:ligatures w14:val="none"/>
        </w:rPr>
        <w:t xml:space="preserve"> Magistretti, S. </w:t>
      </w:r>
      <w:r w:rsidR="007B0EB3" w:rsidRPr="00CC2948">
        <w:rPr>
          <w:rFonts w:ascii="Garamond" w:eastAsia="Times New Roman" w:hAnsi="Garamond" w:cs="Times New Roman"/>
          <w:kern w:val="0"/>
          <w:sz w:val="20"/>
          <w:szCs w:val="20"/>
          <w:lang w:val="en-US" w:eastAsia="it-IT"/>
          <w14:ligatures w14:val="none"/>
        </w:rPr>
        <w:t>2</w:t>
      </w:r>
      <w:r w:rsidRPr="00CC2948">
        <w:rPr>
          <w:rFonts w:ascii="Garamond" w:eastAsia="Times New Roman" w:hAnsi="Garamond" w:cs="Times New Roman"/>
          <w:kern w:val="0"/>
          <w:sz w:val="20"/>
          <w:szCs w:val="20"/>
          <w:lang w:val="en-US" w:eastAsia="it-IT"/>
          <w14:ligatures w14:val="none"/>
        </w:rPr>
        <w:t>023</w:t>
      </w:r>
      <w:r w:rsidR="007B0EB3" w:rsidRP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 xml:space="preserve"> Artificial intelligence in innovation management: A review of innovation capabilities and a taxonomy of AI applications. </w:t>
      </w:r>
      <w:r w:rsidRPr="00CC2948">
        <w:rPr>
          <w:rFonts w:ascii="Garamond" w:eastAsia="Times New Roman" w:hAnsi="Garamond" w:cs="Times New Roman"/>
          <w:i/>
          <w:iCs/>
          <w:kern w:val="0"/>
          <w:sz w:val="20"/>
          <w:szCs w:val="20"/>
          <w:lang w:val="en-US" w:eastAsia="it-IT"/>
          <w14:ligatures w14:val="none"/>
        </w:rPr>
        <w:t>Journal of Product Innovation Management</w:t>
      </w:r>
      <w:r w:rsidR="007B0EB3" w:rsidRPr="00CC2948">
        <w:rPr>
          <w:rFonts w:ascii="Garamond" w:eastAsia="Times New Roman" w:hAnsi="Garamond" w:cs="Times New Roman"/>
          <w:i/>
          <w:iCs/>
          <w:kern w:val="0"/>
          <w:sz w:val="20"/>
          <w:szCs w:val="20"/>
          <w:lang w:val="en-US" w:eastAsia="it-IT"/>
          <w14:ligatures w14:val="none"/>
        </w:rPr>
        <w:t xml:space="preserve"> </w:t>
      </w:r>
      <w:r w:rsidR="007B0EB3" w:rsidRPr="00CC2948">
        <w:rPr>
          <w:rFonts w:ascii="Garamond" w:eastAsia="Times New Roman" w:hAnsi="Garamond" w:cs="Times New Roman"/>
          <w:kern w:val="0"/>
          <w:sz w:val="20"/>
          <w:szCs w:val="20"/>
          <w:lang w:val="en-US" w:eastAsia="it-IT"/>
          <w14:ligatures w14:val="none"/>
        </w:rPr>
        <w:t xml:space="preserve">(early view). </w:t>
      </w:r>
      <w:hyperlink r:id="rId10" w:history="1">
        <w:r w:rsidR="007B0EB3" w:rsidRPr="003B0CD9">
          <w:rPr>
            <w:rStyle w:val="Hyperlink"/>
            <w:rFonts w:ascii="Garamond" w:eastAsia="Times New Roman" w:hAnsi="Garamond" w:cs="Times New Roman"/>
            <w:color w:val="000000" w:themeColor="text1"/>
            <w:kern w:val="0"/>
            <w:sz w:val="20"/>
            <w:szCs w:val="20"/>
            <w:lang w:val="en-GB" w:eastAsia="it-IT"/>
            <w14:ligatures w14:val="none"/>
          </w:rPr>
          <w:t>https://doi.org/10.1111/jpim.12698</w:t>
        </w:r>
      </w:hyperlink>
    </w:p>
    <w:p w14:paraId="62869656" w14:textId="77777777" w:rsidR="00CC2948" w:rsidRDefault="00CC2948" w:rsidP="00CC2948">
      <w:pPr>
        <w:rPr>
          <w:rFonts w:ascii="Garamond" w:eastAsia="Times New Roman" w:hAnsi="Garamond" w:cs="Times New Roman"/>
          <w:kern w:val="0"/>
          <w:sz w:val="20"/>
          <w:szCs w:val="20"/>
          <w:lang w:val="en-US" w:eastAsia="it-IT"/>
          <w14:ligatures w14:val="none"/>
        </w:rPr>
      </w:pPr>
    </w:p>
    <w:p w14:paraId="2348206D" w14:textId="47F0234A" w:rsidR="00FD06E1" w:rsidRPr="00CC2948" w:rsidRDefault="00FD06E1" w:rsidP="00CC2948">
      <w:pPr>
        <w:rPr>
          <w:rFonts w:ascii="Garamond" w:eastAsia="Times New Roman" w:hAnsi="Garamond" w:cs="Times New Roman"/>
          <w:kern w:val="0"/>
          <w:sz w:val="20"/>
          <w:szCs w:val="20"/>
          <w:lang w:val="en-US" w:eastAsia="it-IT"/>
          <w14:ligatures w14:val="none"/>
        </w:rPr>
      </w:pPr>
      <w:r w:rsidRPr="00CC2948">
        <w:rPr>
          <w:rFonts w:ascii="Garamond" w:eastAsia="Times New Roman" w:hAnsi="Garamond" w:cs="Times New Roman"/>
          <w:kern w:val="0"/>
          <w:sz w:val="20"/>
          <w:szCs w:val="20"/>
          <w:lang w:val="en-US" w:eastAsia="it-IT"/>
          <w14:ligatures w14:val="none"/>
        </w:rPr>
        <w:t xml:space="preserve">Garud, R., Gehman, J., </w:t>
      </w:r>
      <w:r w:rsidR="007B0EB3" w:rsidRPr="00CC2948">
        <w:rPr>
          <w:rFonts w:ascii="Garamond" w:eastAsia="Times New Roman" w:hAnsi="Garamond" w:cs="Times New Roman"/>
          <w:kern w:val="0"/>
          <w:sz w:val="20"/>
          <w:szCs w:val="20"/>
          <w:lang w:val="en-US" w:eastAsia="it-IT"/>
          <w14:ligatures w14:val="none"/>
        </w:rPr>
        <w:t>and</w:t>
      </w:r>
      <w:r w:rsidRPr="00CC2948">
        <w:rPr>
          <w:rFonts w:ascii="Garamond" w:eastAsia="Times New Roman" w:hAnsi="Garamond" w:cs="Times New Roman"/>
          <w:kern w:val="0"/>
          <w:sz w:val="20"/>
          <w:szCs w:val="20"/>
          <w:lang w:val="en-US" w:eastAsia="it-IT"/>
          <w14:ligatures w14:val="none"/>
        </w:rPr>
        <w:t xml:space="preserve"> Giuliani, A. P. 2018. Why not take a performative approach to entrepreneurship? </w:t>
      </w:r>
      <w:r w:rsidRPr="00CC2948">
        <w:rPr>
          <w:rFonts w:ascii="Garamond" w:eastAsia="Times New Roman" w:hAnsi="Garamond" w:cs="Times New Roman"/>
          <w:i/>
          <w:iCs/>
          <w:kern w:val="0"/>
          <w:sz w:val="20"/>
          <w:szCs w:val="20"/>
          <w:lang w:val="en-US" w:eastAsia="it-IT"/>
          <w14:ligatures w14:val="none"/>
        </w:rPr>
        <w:t>Journal of Business Venturing Insights</w:t>
      </w:r>
      <w:r w:rsidRPr="00CC2948">
        <w:rPr>
          <w:rFonts w:ascii="Garamond" w:eastAsia="Times New Roman" w:hAnsi="Garamond" w:cs="Times New Roman"/>
          <w:kern w:val="0"/>
          <w:sz w:val="20"/>
          <w:szCs w:val="20"/>
          <w:lang w:val="en-US" w:eastAsia="it-IT"/>
          <w14:ligatures w14:val="none"/>
        </w:rPr>
        <w:t xml:space="preserve"> 9</w:t>
      </w:r>
      <w:r w:rsidR="007B0EB3" w:rsidRP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 xml:space="preserve"> 60</w:t>
      </w:r>
      <w:r w:rsidR="007B0EB3" w:rsidRP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64.</w:t>
      </w:r>
      <w:r w:rsidR="007B0EB3" w:rsidRPr="00CC2948">
        <w:rPr>
          <w:rFonts w:ascii="Garamond" w:eastAsia="Times New Roman" w:hAnsi="Garamond" w:cs="Times New Roman"/>
          <w:kern w:val="0"/>
          <w:sz w:val="20"/>
          <w:szCs w:val="20"/>
          <w:lang w:val="en-US" w:eastAsia="it-IT"/>
          <w14:ligatures w14:val="none"/>
        </w:rPr>
        <w:t xml:space="preserve"> </w:t>
      </w:r>
      <w:hyperlink r:id="rId11" w:tgtFrame="_blank" w:tooltip="Persistent link using digital object identifier" w:history="1">
        <w:r w:rsidR="007B0EB3" w:rsidRPr="003B0CD9">
          <w:rPr>
            <w:rStyle w:val="Hyperlink"/>
            <w:rFonts w:ascii="Garamond" w:eastAsia="Times New Roman" w:hAnsi="Garamond" w:cs="Times New Roman"/>
            <w:color w:val="000000" w:themeColor="text1"/>
            <w:kern w:val="0"/>
            <w:sz w:val="20"/>
            <w:szCs w:val="20"/>
            <w:lang w:val="en-GB" w:eastAsia="it-IT"/>
            <w14:ligatures w14:val="none"/>
          </w:rPr>
          <w:t>https://doi.org/10.1016/j.jbvi.2018.01.001</w:t>
        </w:r>
      </w:hyperlink>
    </w:p>
    <w:p w14:paraId="2E6B1661" w14:textId="77777777" w:rsidR="00CC2948" w:rsidRDefault="00CC2948" w:rsidP="00CC2948">
      <w:pPr>
        <w:rPr>
          <w:rFonts w:ascii="Garamond" w:hAnsi="Garamond"/>
          <w:sz w:val="20"/>
          <w:szCs w:val="20"/>
          <w:lang w:val="en-US"/>
        </w:rPr>
      </w:pPr>
    </w:p>
    <w:p w14:paraId="2110BDD5" w14:textId="4CFA03A8" w:rsidR="00FD06E1" w:rsidRPr="00CC2948" w:rsidRDefault="00FD06E1" w:rsidP="00CC2948">
      <w:pPr>
        <w:rPr>
          <w:rFonts w:ascii="Garamond" w:hAnsi="Garamond"/>
          <w:sz w:val="20"/>
          <w:szCs w:val="20"/>
          <w:lang w:val="en-US"/>
        </w:rPr>
      </w:pPr>
      <w:r w:rsidRPr="00CC2948">
        <w:rPr>
          <w:rFonts w:ascii="Garamond" w:hAnsi="Garamond"/>
          <w:sz w:val="20"/>
          <w:szCs w:val="20"/>
          <w:lang w:val="en-US"/>
        </w:rPr>
        <w:t xml:space="preserve">Gordon, A. V., Ramic, M., Rohrbeck, R., </w:t>
      </w:r>
      <w:r w:rsidR="007B0EB3" w:rsidRPr="00CC2948">
        <w:rPr>
          <w:rFonts w:ascii="Garamond" w:hAnsi="Garamond"/>
          <w:sz w:val="20"/>
          <w:szCs w:val="20"/>
          <w:lang w:val="en-US"/>
        </w:rPr>
        <w:t>and</w:t>
      </w:r>
      <w:r w:rsidRPr="00CC2948">
        <w:rPr>
          <w:rFonts w:ascii="Garamond" w:hAnsi="Garamond"/>
          <w:sz w:val="20"/>
          <w:szCs w:val="20"/>
          <w:lang w:val="en-US"/>
        </w:rPr>
        <w:t xml:space="preserve"> Spaniol, M. J. 2020. 50 </w:t>
      </w:r>
      <w:r w:rsidR="007B0EB3" w:rsidRPr="00CC2948">
        <w:rPr>
          <w:rFonts w:ascii="Garamond" w:hAnsi="Garamond"/>
          <w:sz w:val="20"/>
          <w:szCs w:val="20"/>
          <w:lang w:val="en-US"/>
        </w:rPr>
        <w:t>y</w:t>
      </w:r>
      <w:r w:rsidRPr="00CC2948">
        <w:rPr>
          <w:rFonts w:ascii="Garamond" w:hAnsi="Garamond"/>
          <w:sz w:val="20"/>
          <w:szCs w:val="20"/>
          <w:lang w:val="en-US"/>
        </w:rPr>
        <w:t xml:space="preserve">ears of corporate and organizational foresight: Looking back and going forward. </w:t>
      </w:r>
      <w:r w:rsidRPr="00CC2948">
        <w:rPr>
          <w:rFonts w:ascii="Garamond" w:hAnsi="Garamond"/>
          <w:i/>
          <w:iCs/>
          <w:sz w:val="20"/>
          <w:szCs w:val="20"/>
          <w:lang w:val="en-US"/>
        </w:rPr>
        <w:t>Technological Forecasting and Social Change</w:t>
      </w:r>
      <w:r w:rsidRPr="00CC2948">
        <w:rPr>
          <w:rFonts w:ascii="Garamond" w:hAnsi="Garamond"/>
          <w:sz w:val="20"/>
          <w:szCs w:val="20"/>
          <w:lang w:val="en-US"/>
        </w:rPr>
        <w:t xml:space="preserve"> 154</w:t>
      </w:r>
      <w:r w:rsidR="007B0EB3" w:rsidRPr="00CC2948">
        <w:rPr>
          <w:rFonts w:ascii="Garamond" w:hAnsi="Garamond"/>
          <w:sz w:val="20"/>
          <w:szCs w:val="20"/>
          <w:lang w:val="en-US"/>
        </w:rPr>
        <w:t>:</w:t>
      </w:r>
      <w:r w:rsidRPr="00CC2948">
        <w:rPr>
          <w:rFonts w:ascii="Garamond" w:hAnsi="Garamond"/>
          <w:sz w:val="20"/>
          <w:szCs w:val="20"/>
          <w:lang w:val="en-US"/>
        </w:rPr>
        <w:t xml:space="preserve"> 119966.</w:t>
      </w:r>
      <w:r w:rsidR="00CC2948" w:rsidRPr="00CC2948">
        <w:rPr>
          <w:rFonts w:ascii="Garamond" w:hAnsi="Garamond"/>
          <w:sz w:val="20"/>
          <w:szCs w:val="20"/>
          <w:lang w:val="en-US"/>
        </w:rPr>
        <w:t xml:space="preserve"> </w:t>
      </w:r>
      <w:hyperlink r:id="rId12" w:tgtFrame="_blank" w:tooltip="Persistent link using digital object identifier" w:history="1">
        <w:r w:rsidR="00CC2948" w:rsidRPr="00CC2948">
          <w:rPr>
            <w:rStyle w:val="Hyperlink"/>
            <w:rFonts w:ascii="Garamond" w:hAnsi="Garamond"/>
            <w:color w:val="000000" w:themeColor="text1"/>
            <w:sz w:val="20"/>
            <w:szCs w:val="20"/>
            <w:lang w:val="en-US"/>
          </w:rPr>
          <w:t>https://doi.org/10.1016/j.techfore.2020.119966</w:t>
        </w:r>
      </w:hyperlink>
      <w:r w:rsidR="00CC2948" w:rsidRPr="00CC2948">
        <w:rPr>
          <w:rFonts w:ascii="Garamond" w:hAnsi="Garamond"/>
          <w:color w:val="000000" w:themeColor="text1"/>
          <w:sz w:val="20"/>
          <w:szCs w:val="20"/>
          <w:lang w:val="en-US"/>
        </w:rPr>
        <w:t xml:space="preserve"> </w:t>
      </w:r>
    </w:p>
    <w:p w14:paraId="236F4EBB" w14:textId="77777777" w:rsidR="00CC2948" w:rsidRDefault="00CC2948" w:rsidP="00CC2948">
      <w:pPr>
        <w:rPr>
          <w:rFonts w:ascii="Garamond" w:hAnsi="Garamond"/>
          <w:sz w:val="20"/>
          <w:szCs w:val="20"/>
          <w:lang w:val="en-US"/>
        </w:rPr>
      </w:pPr>
    </w:p>
    <w:p w14:paraId="78CEF1AB" w14:textId="5AC3923D" w:rsidR="00CC2948" w:rsidRPr="00CC2948" w:rsidRDefault="00FD06E1" w:rsidP="00CC2948">
      <w:pPr>
        <w:rPr>
          <w:rFonts w:ascii="Garamond" w:eastAsia="Times New Roman" w:hAnsi="Garamond" w:cs="Times New Roman"/>
          <w:kern w:val="0"/>
          <w:sz w:val="20"/>
          <w:szCs w:val="20"/>
          <w:lang w:val="en-US" w:eastAsia="it-IT"/>
          <w14:ligatures w14:val="none"/>
        </w:rPr>
      </w:pPr>
      <w:proofErr w:type="spellStart"/>
      <w:r w:rsidRPr="00CC2948">
        <w:rPr>
          <w:rFonts w:ascii="Garamond" w:hAnsi="Garamond"/>
          <w:sz w:val="20"/>
          <w:szCs w:val="20"/>
          <w:lang w:val="en-US"/>
        </w:rPr>
        <w:t>Gümüsay</w:t>
      </w:r>
      <w:proofErr w:type="spellEnd"/>
      <w:r w:rsidRPr="00CC2948">
        <w:rPr>
          <w:rFonts w:ascii="Garamond" w:hAnsi="Garamond"/>
          <w:sz w:val="20"/>
          <w:szCs w:val="20"/>
          <w:lang w:val="en-US"/>
        </w:rPr>
        <w:t xml:space="preserve">, A.A. </w:t>
      </w:r>
      <w:r w:rsidR="00CC2948" w:rsidRPr="00CC2948">
        <w:rPr>
          <w:rFonts w:ascii="Garamond" w:hAnsi="Garamond"/>
          <w:sz w:val="20"/>
          <w:szCs w:val="20"/>
          <w:lang w:val="en-US"/>
        </w:rPr>
        <w:t>and</w:t>
      </w:r>
      <w:r w:rsidRPr="00CC2948">
        <w:rPr>
          <w:rFonts w:ascii="Garamond" w:hAnsi="Garamond"/>
          <w:sz w:val="20"/>
          <w:szCs w:val="20"/>
          <w:lang w:val="en-US"/>
        </w:rPr>
        <w:t xml:space="preserve"> Reinecke, J. (2022). Researching for </w:t>
      </w:r>
      <w:r w:rsidR="00CC2948" w:rsidRPr="00CC2948">
        <w:rPr>
          <w:rFonts w:ascii="Garamond" w:hAnsi="Garamond"/>
          <w:sz w:val="20"/>
          <w:szCs w:val="20"/>
          <w:lang w:val="en-US"/>
        </w:rPr>
        <w:t>d</w:t>
      </w:r>
      <w:r w:rsidRPr="00CC2948">
        <w:rPr>
          <w:rFonts w:ascii="Garamond" w:hAnsi="Garamond"/>
          <w:sz w:val="20"/>
          <w:szCs w:val="20"/>
          <w:lang w:val="en-US"/>
        </w:rPr>
        <w:t xml:space="preserve">esirable </w:t>
      </w:r>
      <w:r w:rsidR="00CC2948" w:rsidRPr="00CC2948">
        <w:rPr>
          <w:rFonts w:ascii="Garamond" w:hAnsi="Garamond"/>
          <w:sz w:val="20"/>
          <w:szCs w:val="20"/>
          <w:lang w:val="en-US"/>
        </w:rPr>
        <w:t>f</w:t>
      </w:r>
      <w:r w:rsidRPr="00CC2948">
        <w:rPr>
          <w:rFonts w:ascii="Garamond" w:hAnsi="Garamond"/>
          <w:sz w:val="20"/>
          <w:szCs w:val="20"/>
          <w:lang w:val="en-US"/>
        </w:rPr>
        <w:t xml:space="preserve">utures: From </w:t>
      </w:r>
      <w:r w:rsidR="00CC2948" w:rsidRPr="00CC2948">
        <w:rPr>
          <w:rFonts w:ascii="Garamond" w:hAnsi="Garamond"/>
          <w:sz w:val="20"/>
          <w:szCs w:val="20"/>
          <w:lang w:val="en-US"/>
        </w:rPr>
        <w:t>r</w:t>
      </w:r>
      <w:r w:rsidRPr="00CC2948">
        <w:rPr>
          <w:rFonts w:ascii="Garamond" w:hAnsi="Garamond"/>
          <w:sz w:val="20"/>
          <w:szCs w:val="20"/>
          <w:lang w:val="en-US"/>
        </w:rPr>
        <w:t xml:space="preserve">eal </w:t>
      </w:r>
      <w:r w:rsidR="00CC2948" w:rsidRPr="00CC2948">
        <w:rPr>
          <w:rFonts w:ascii="Garamond" w:hAnsi="Garamond"/>
          <w:sz w:val="20"/>
          <w:szCs w:val="20"/>
          <w:lang w:val="en-US"/>
        </w:rPr>
        <w:t>u</w:t>
      </w:r>
      <w:r w:rsidRPr="00CC2948">
        <w:rPr>
          <w:rFonts w:ascii="Garamond" w:hAnsi="Garamond"/>
          <w:sz w:val="20"/>
          <w:szCs w:val="20"/>
          <w:lang w:val="en-US"/>
        </w:rPr>
        <w:t xml:space="preserve">topias to </w:t>
      </w:r>
      <w:r w:rsidR="00CC2948" w:rsidRPr="00CC2948">
        <w:rPr>
          <w:rFonts w:ascii="Garamond" w:hAnsi="Garamond"/>
          <w:sz w:val="20"/>
          <w:szCs w:val="20"/>
          <w:lang w:val="en-US"/>
        </w:rPr>
        <w:t>i</w:t>
      </w:r>
      <w:r w:rsidRPr="00CC2948">
        <w:rPr>
          <w:rFonts w:ascii="Garamond" w:hAnsi="Garamond"/>
          <w:sz w:val="20"/>
          <w:szCs w:val="20"/>
          <w:lang w:val="en-US"/>
        </w:rPr>
        <w:t xml:space="preserve">magining </w:t>
      </w:r>
      <w:r w:rsidR="00CC2948" w:rsidRPr="00CC2948">
        <w:rPr>
          <w:rFonts w:ascii="Garamond" w:hAnsi="Garamond"/>
          <w:sz w:val="20"/>
          <w:szCs w:val="20"/>
          <w:lang w:val="en-US"/>
        </w:rPr>
        <w:t>a</w:t>
      </w:r>
      <w:r w:rsidRPr="00CC2948">
        <w:rPr>
          <w:rFonts w:ascii="Garamond" w:hAnsi="Garamond"/>
          <w:sz w:val="20"/>
          <w:szCs w:val="20"/>
          <w:lang w:val="en-US"/>
        </w:rPr>
        <w:t xml:space="preserve">lternatives. </w:t>
      </w:r>
      <w:r w:rsidRPr="00CC2948">
        <w:rPr>
          <w:rFonts w:ascii="Garamond" w:hAnsi="Garamond"/>
          <w:i/>
          <w:iCs/>
          <w:sz w:val="20"/>
          <w:szCs w:val="20"/>
          <w:lang w:val="en-US"/>
        </w:rPr>
        <w:t>Journal of Management Studies</w:t>
      </w:r>
      <w:r w:rsidRPr="00CC2948">
        <w:rPr>
          <w:rFonts w:ascii="Garamond" w:hAnsi="Garamond"/>
          <w:sz w:val="20"/>
          <w:szCs w:val="20"/>
          <w:lang w:val="en-US"/>
        </w:rPr>
        <w:t xml:space="preserve"> 59: 236</w:t>
      </w:r>
      <w:r w:rsidR="00CC2948" w:rsidRPr="00CC2948">
        <w:rPr>
          <w:rFonts w:ascii="Garamond" w:hAnsi="Garamond"/>
          <w:sz w:val="20"/>
          <w:szCs w:val="20"/>
          <w:lang w:val="en-US"/>
        </w:rPr>
        <w:t>–</w:t>
      </w:r>
      <w:r w:rsidRPr="00CC2948">
        <w:rPr>
          <w:rFonts w:ascii="Garamond" w:hAnsi="Garamond"/>
          <w:sz w:val="20"/>
          <w:szCs w:val="20"/>
          <w:lang w:val="en-US"/>
        </w:rPr>
        <w:t>242.</w:t>
      </w:r>
      <w:r w:rsidR="00CC2948" w:rsidRPr="00CC2948">
        <w:rPr>
          <w:rFonts w:ascii="Garamond" w:eastAsia="Times New Roman" w:hAnsi="Garamond" w:cs="Times New Roman"/>
          <w:color w:val="000000" w:themeColor="text1"/>
          <w:kern w:val="0"/>
          <w:sz w:val="20"/>
          <w:szCs w:val="20"/>
          <w:lang w:val="en-US" w:eastAsia="it-IT"/>
          <w14:ligatures w14:val="none"/>
        </w:rPr>
        <w:t xml:space="preserve"> </w:t>
      </w:r>
      <w:hyperlink r:id="rId13" w:history="1">
        <w:r w:rsidR="00CC2948" w:rsidRPr="00CC2948">
          <w:rPr>
            <w:rStyle w:val="Hyperlink"/>
            <w:rFonts w:ascii="Garamond" w:eastAsia="Times New Roman" w:hAnsi="Garamond" w:cs="Times New Roman"/>
            <w:color w:val="000000" w:themeColor="text1"/>
            <w:kern w:val="0"/>
            <w:sz w:val="20"/>
            <w:szCs w:val="20"/>
            <w:lang w:val="en-US" w:eastAsia="it-IT"/>
            <w14:ligatures w14:val="none"/>
          </w:rPr>
          <w:t>https://doi.org/10.1111/joms.12709</w:t>
        </w:r>
      </w:hyperlink>
    </w:p>
    <w:p w14:paraId="4B4E87E4" w14:textId="77777777" w:rsidR="00CC2948" w:rsidRDefault="00CC2948" w:rsidP="00CC2948">
      <w:pPr>
        <w:rPr>
          <w:rFonts w:ascii="Garamond" w:eastAsia="Times New Roman" w:hAnsi="Garamond" w:cs="Times New Roman"/>
          <w:kern w:val="0"/>
          <w:sz w:val="20"/>
          <w:szCs w:val="20"/>
          <w:lang w:val="en-US" w:eastAsia="it-IT"/>
          <w14:ligatures w14:val="none"/>
        </w:rPr>
      </w:pPr>
    </w:p>
    <w:p w14:paraId="6F19E781" w14:textId="0FA1B8A5" w:rsidR="00FD06E1" w:rsidRDefault="00FD06E1" w:rsidP="00CC2948">
      <w:pPr>
        <w:rPr>
          <w:rFonts w:ascii="Garamond" w:eastAsia="Times New Roman" w:hAnsi="Garamond" w:cs="Times New Roman"/>
          <w:kern w:val="0"/>
          <w:sz w:val="20"/>
          <w:szCs w:val="20"/>
          <w:lang w:val="en-US" w:eastAsia="it-IT"/>
          <w14:ligatures w14:val="none"/>
        </w:rPr>
      </w:pPr>
      <w:r w:rsidRPr="00CC2948">
        <w:rPr>
          <w:rFonts w:ascii="Garamond" w:eastAsia="Times New Roman" w:hAnsi="Garamond" w:cs="Times New Roman"/>
          <w:kern w:val="0"/>
          <w:sz w:val="20"/>
          <w:szCs w:val="20"/>
          <w:lang w:val="en-US" w:eastAsia="it-IT"/>
          <w14:ligatures w14:val="none"/>
        </w:rPr>
        <w:t xml:space="preserve">Magistretti, S, Ardito, L, </w:t>
      </w:r>
      <w:r w:rsidR="00CC2948" w:rsidRPr="00CC2948">
        <w:rPr>
          <w:rFonts w:ascii="Garamond" w:eastAsia="Times New Roman" w:hAnsi="Garamond" w:cs="Times New Roman"/>
          <w:kern w:val="0"/>
          <w:sz w:val="20"/>
          <w:szCs w:val="20"/>
          <w:lang w:val="en-US" w:eastAsia="it-IT"/>
          <w14:ligatures w14:val="none"/>
        </w:rPr>
        <w:t>and</w:t>
      </w:r>
      <w:r w:rsidRPr="00CC2948">
        <w:rPr>
          <w:rFonts w:ascii="Garamond" w:eastAsia="Times New Roman" w:hAnsi="Garamond" w:cs="Times New Roman"/>
          <w:kern w:val="0"/>
          <w:sz w:val="20"/>
          <w:szCs w:val="20"/>
          <w:lang w:val="en-US" w:eastAsia="it-IT"/>
          <w14:ligatures w14:val="none"/>
        </w:rPr>
        <w:t xml:space="preserve"> Messeni Petruzzelli, A. 2021. F</w:t>
      </w:r>
      <w:bookmarkStart w:id="0" w:name="OLE_LINK40"/>
      <w:bookmarkStart w:id="1" w:name="OLE_LINK41"/>
      <w:r w:rsidRPr="00CC2948">
        <w:rPr>
          <w:rFonts w:ascii="Garamond" w:eastAsia="Times New Roman" w:hAnsi="Garamond" w:cs="Times New Roman"/>
          <w:kern w:val="0"/>
          <w:sz w:val="20"/>
          <w:szCs w:val="20"/>
          <w:lang w:val="en-US" w:eastAsia="it-IT"/>
          <w14:ligatures w14:val="none"/>
        </w:rPr>
        <w:t xml:space="preserve">raming the </w:t>
      </w:r>
      <w:proofErr w:type="spellStart"/>
      <w:r w:rsidRPr="00CC2948">
        <w:rPr>
          <w:rFonts w:ascii="Garamond" w:eastAsia="Times New Roman" w:hAnsi="Garamond" w:cs="Times New Roman"/>
          <w:kern w:val="0"/>
          <w:sz w:val="20"/>
          <w:szCs w:val="20"/>
          <w:lang w:val="en-US" w:eastAsia="it-IT"/>
          <w14:ligatures w14:val="none"/>
        </w:rPr>
        <w:t>microfoundations</w:t>
      </w:r>
      <w:proofErr w:type="spellEnd"/>
      <w:r w:rsidRPr="00CC2948">
        <w:rPr>
          <w:rFonts w:ascii="Garamond" w:eastAsia="Times New Roman" w:hAnsi="Garamond" w:cs="Times New Roman"/>
          <w:kern w:val="0"/>
          <w:sz w:val="20"/>
          <w:szCs w:val="20"/>
          <w:lang w:val="en-US" w:eastAsia="it-IT"/>
          <w14:ligatures w14:val="none"/>
        </w:rPr>
        <w:t xml:space="preserve"> of design thinking as a dynamic capability for innovation: Reconciling theory and practice.</w:t>
      </w:r>
      <w:bookmarkEnd w:id="0"/>
      <w:bookmarkEnd w:id="1"/>
      <w:r w:rsidRPr="00CC2948">
        <w:rPr>
          <w:rFonts w:ascii="Garamond" w:eastAsia="Times New Roman" w:hAnsi="Garamond" w:cs="Times New Roman"/>
          <w:kern w:val="0"/>
          <w:sz w:val="20"/>
          <w:szCs w:val="20"/>
          <w:lang w:val="en-US" w:eastAsia="it-IT"/>
          <w14:ligatures w14:val="none"/>
        </w:rPr>
        <w:t xml:space="preserve"> </w:t>
      </w:r>
      <w:r w:rsidRPr="00CC2948">
        <w:rPr>
          <w:rFonts w:ascii="Garamond" w:eastAsia="Times New Roman" w:hAnsi="Garamond" w:cs="Times New Roman"/>
          <w:i/>
          <w:iCs/>
          <w:kern w:val="0"/>
          <w:sz w:val="20"/>
          <w:szCs w:val="20"/>
          <w:lang w:val="en-US" w:eastAsia="it-IT"/>
          <w14:ligatures w14:val="none"/>
        </w:rPr>
        <w:t>Journal of Product Innovation Management</w:t>
      </w:r>
      <w:r w:rsidRPr="00CC2948">
        <w:rPr>
          <w:rFonts w:ascii="Garamond" w:eastAsia="Times New Roman" w:hAnsi="Garamond" w:cs="Times New Roman"/>
          <w:kern w:val="0"/>
          <w:sz w:val="20"/>
          <w:szCs w:val="20"/>
          <w:lang w:val="en-US" w:eastAsia="it-IT"/>
          <w14:ligatures w14:val="none"/>
        </w:rPr>
        <w:t xml:space="preserve"> 38(6): 645</w:t>
      </w:r>
      <w:r w:rsidR="00CC2948" w:rsidRP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667.</w:t>
      </w:r>
      <w:r w:rsidR="008E4C47">
        <w:rPr>
          <w:rFonts w:ascii="Garamond" w:eastAsia="Times New Roman" w:hAnsi="Garamond" w:cs="Times New Roman"/>
          <w:kern w:val="0"/>
          <w:sz w:val="20"/>
          <w:szCs w:val="20"/>
          <w:lang w:val="en-US" w:eastAsia="it-IT"/>
          <w14:ligatures w14:val="none"/>
        </w:rPr>
        <w:t xml:space="preserve"> </w:t>
      </w:r>
    </w:p>
    <w:p w14:paraId="05DB4D25" w14:textId="309D2149" w:rsidR="008E4C47" w:rsidRPr="008E4C47" w:rsidRDefault="00000000" w:rsidP="00CC2948">
      <w:pPr>
        <w:rPr>
          <w:rFonts w:ascii="Garamond" w:eastAsia="Times New Roman" w:hAnsi="Garamond" w:cs="Times New Roman"/>
          <w:color w:val="000000" w:themeColor="text1"/>
          <w:kern w:val="0"/>
          <w:sz w:val="20"/>
          <w:szCs w:val="20"/>
          <w:lang w:val="en-US" w:eastAsia="it-IT"/>
          <w14:ligatures w14:val="none"/>
        </w:rPr>
      </w:pPr>
      <w:hyperlink r:id="rId14" w:history="1">
        <w:r w:rsidR="008E4C47" w:rsidRPr="003B0CD9">
          <w:rPr>
            <w:rStyle w:val="Hyperlink"/>
            <w:rFonts w:ascii="Garamond" w:eastAsia="Times New Roman" w:hAnsi="Garamond" w:cs="Times New Roman"/>
            <w:color w:val="000000" w:themeColor="text1"/>
            <w:kern w:val="0"/>
            <w:sz w:val="20"/>
            <w:szCs w:val="20"/>
            <w:lang w:val="en-GB" w:eastAsia="it-IT"/>
            <w14:ligatures w14:val="none"/>
          </w:rPr>
          <w:t>https://doi.org/10.1111/jpim.12586</w:t>
        </w:r>
      </w:hyperlink>
    </w:p>
    <w:p w14:paraId="2AB7FE96" w14:textId="77777777" w:rsidR="00CC2948" w:rsidRDefault="00CC2948" w:rsidP="00CC2948">
      <w:pPr>
        <w:rPr>
          <w:rFonts w:ascii="Garamond" w:hAnsi="Garamond"/>
          <w:sz w:val="20"/>
          <w:szCs w:val="20"/>
          <w:lang w:val="en-US"/>
        </w:rPr>
      </w:pPr>
    </w:p>
    <w:p w14:paraId="4FD32923" w14:textId="54ABCABB" w:rsidR="00FD06E1" w:rsidRDefault="00FD06E1" w:rsidP="00CC2948">
      <w:pPr>
        <w:rPr>
          <w:rFonts w:ascii="Garamond" w:hAnsi="Garamond"/>
          <w:sz w:val="20"/>
          <w:szCs w:val="20"/>
          <w:lang w:val="en-US"/>
        </w:rPr>
      </w:pPr>
      <w:r w:rsidRPr="00CC2948">
        <w:rPr>
          <w:rFonts w:ascii="Garamond" w:hAnsi="Garamond"/>
          <w:sz w:val="20"/>
          <w:szCs w:val="20"/>
          <w:lang w:val="en-US"/>
        </w:rPr>
        <w:t xml:space="preserve">Nonaka, I., </w:t>
      </w:r>
      <w:r w:rsidR="00CC2948">
        <w:rPr>
          <w:rFonts w:ascii="Garamond" w:hAnsi="Garamond"/>
          <w:sz w:val="20"/>
          <w:szCs w:val="20"/>
          <w:lang w:val="en-US"/>
        </w:rPr>
        <w:t>and</w:t>
      </w:r>
      <w:r w:rsidRPr="00CC2948">
        <w:rPr>
          <w:rFonts w:ascii="Garamond" w:hAnsi="Garamond"/>
          <w:sz w:val="20"/>
          <w:szCs w:val="20"/>
          <w:lang w:val="en-US"/>
        </w:rPr>
        <w:t xml:space="preserve"> Takeuchi, H. 2021. Humanizing strategy. </w:t>
      </w:r>
      <w:r w:rsidRPr="00CC2948">
        <w:rPr>
          <w:rFonts w:ascii="Garamond" w:hAnsi="Garamond"/>
          <w:i/>
          <w:iCs/>
          <w:sz w:val="20"/>
          <w:szCs w:val="20"/>
          <w:lang w:val="en-US"/>
        </w:rPr>
        <w:t>Long Range Planning</w:t>
      </w:r>
      <w:r w:rsidR="00CC2948">
        <w:rPr>
          <w:rFonts w:ascii="Garamond" w:hAnsi="Garamond"/>
          <w:sz w:val="20"/>
          <w:szCs w:val="20"/>
          <w:lang w:val="en-US"/>
        </w:rPr>
        <w:t xml:space="preserve"> </w:t>
      </w:r>
      <w:r w:rsidRPr="00CC2948">
        <w:rPr>
          <w:rFonts w:ascii="Garamond" w:hAnsi="Garamond"/>
          <w:sz w:val="20"/>
          <w:szCs w:val="20"/>
          <w:lang w:val="en-US"/>
        </w:rPr>
        <w:t>54(4)</w:t>
      </w:r>
      <w:r w:rsidR="00CC2948">
        <w:rPr>
          <w:rFonts w:ascii="Garamond" w:hAnsi="Garamond"/>
          <w:sz w:val="20"/>
          <w:szCs w:val="20"/>
          <w:lang w:val="en-US"/>
        </w:rPr>
        <w:t>:</w:t>
      </w:r>
      <w:r w:rsidRPr="00CC2948">
        <w:rPr>
          <w:rFonts w:ascii="Garamond" w:hAnsi="Garamond"/>
          <w:sz w:val="20"/>
          <w:szCs w:val="20"/>
          <w:lang w:val="en-US"/>
        </w:rPr>
        <w:t xml:space="preserve"> 102070.</w:t>
      </w:r>
      <w:r w:rsidR="008E4C47">
        <w:rPr>
          <w:rFonts w:ascii="Garamond" w:hAnsi="Garamond"/>
          <w:sz w:val="20"/>
          <w:szCs w:val="20"/>
          <w:lang w:val="en-US"/>
        </w:rPr>
        <w:t xml:space="preserve"> </w:t>
      </w:r>
    </w:p>
    <w:p w14:paraId="6D8D0CB7" w14:textId="6A714C7A" w:rsidR="008E4C47" w:rsidRPr="008E4C47" w:rsidRDefault="00000000" w:rsidP="00CC2948">
      <w:pPr>
        <w:rPr>
          <w:rFonts w:ascii="Garamond" w:eastAsia="Times New Roman" w:hAnsi="Garamond" w:cs="Times New Roman"/>
          <w:color w:val="000000" w:themeColor="text1"/>
          <w:kern w:val="0"/>
          <w:sz w:val="20"/>
          <w:szCs w:val="20"/>
          <w:lang w:val="en-US" w:eastAsia="it-IT"/>
          <w14:ligatures w14:val="none"/>
        </w:rPr>
      </w:pPr>
      <w:hyperlink r:id="rId15" w:tgtFrame="_blank" w:tooltip="Persistent link using digital object identifier" w:history="1">
        <w:r w:rsidR="008E4C47" w:rsidRPr="003B0CD9">
          <w:rPr>
            <w:rStyle w:val="Hyperlink"/>
            <w:rFonts w:ascii="Garamond" w:eastAsia="Times New Roman" w:hAnsi="Garamond" w:cs="Times New Roman"/>
            <w:color w:val="000000" w:themeColor="text1"/>
            <w:kern w:val="0"/>
            <w:sz w:val="20"/>
            <w:szCs w:val="20"/>
            <w:lang w:val="en-US" w:eastAsia="it-IT"/>
            <w14:ligatures w14:val="none"/>
          </w:rPr>
          <w:t>https://doi.org/10.1016/j.lrp.2021.102070</w:t>
        </w:r>
      </w:hyperlink>
    </w:p>
    <w:p w14:paraId="0E45D27E" w14:textId="77777777" w:rsidR="00CC2948" w:rsidRDefault="00CC2948" w:rsidP="00CC2948">
      <w:pPr>
        <w:rPr>
          <w:rFonts w:ascii="Garamond" w:hAnsi="Garamond"/>
          <w:sz w:val="20"/>
          <w:szCs w:val="20"/>
          <w:lang w:val="en-US"/>
        </w:rPr>
      </w:pPr>
    </w:p>
    <w:p w14:paraId="557C1457" w14:textId="3EBE967D" w:rsidR="008E4C47" w:rsidRPr="008E4C47" w:rsidRDefault="00FD06E1" w:rsidP="00CC2948">
      <w:pPr>
        <w:rPr>
          <w:rFonts w:ascii="Garamond" w:hAnsi="Garamond"/>
          <w:color w:val="000000" w:themeColor="text1"/>
          <w:sz w:val="20"/>
          <w:szCs w:val="20"/>
          <w:lang w:val="en-US"/>
        </w:rPr>
      </w:pPr>
      <w:r w:rsidRPr="00CC2948">
        <w:rPr>
          <w:rFonts w:ascii="Garamond" w:hAnsi="Garamond"/>
          <w:sz w:val="20"/>
          <w:szCs w:val="20"/>
          <w:lang w:val="en-US"/>
        </w:rPr>
        <w:t xml:space="preserve">Rohrbeck, R., </w:t>
      </w:r>
      <w:r w:rsidR="00CC2948">
        <w:rPr>
          <w:rFonts w:ascii="Garamond" w:hAnsi="Garamond"/>
          <w:sz w:val="20"/>
          <w:szCs w:val="20"/>
          <w:lang w:val="en-US"/>
        </w:rPr>
        <w:t>and</w:t>
      </w:r>
      <w:r w:rsidRPr="00CC2948">
        <w:rPr>
          <w:rFonts w:ascii="Garamond" w:hAnsi="Garamond"/>
          <w:sz w:val="20"/>
          <w:szCs w:val="20"/>
          <w:lang w:val="en-US"/>
        </w:rPr>
        <w:t xml:space="preserve"> Kum, M. E. 2018. Corporate foresight and its impact on firm performance: A longitudinal analysis. </w:t>
      </w:r>
      <w:r w:rsidRPr="00CC2948">
        <w:rPr>
          <w:rFonts w:ascii="Garamond" w:hAnsi="Garamond"/>
          <w:i/>
          <w:iCs/>
          <w:sz w:val="20"/>
          <w:szCs w:val="20"/>
          <w:lang w:val="en-US"/>
        </w:rPr>
        <w:t>Technological Forecasting and Social Change</w:t>
      </w:r>
      <w:r w:rsidR="00CC2948">
        <w:rPr>
          <w:rFonts w:ascii="Garamond" w:hAnsi="Garamond"/>
          <w:sz w:val="20"/>
          <w:szCs w:val="20"/>
          <w:lang w:val="en-US"/>
        </w:rPr>
        <w:t xml:space="preserve"> </w:t>
      </w:r>
      <w:r w:rsidRPr="00CC2948">
        <w:rPr>
          <w:rFonts w:ascii="Garamond" w:hAnsi="Garamond"/>
          <w:sz w:val="20"/>
          <w:szCs w:val="20"/>
          <w:lang w:val="en-US"/>
        </w:rPr>
        <w:t>129</w:t>
      </w:r>
      <w:r w:rsidR="00CC2948">
        <w:rPr>
          <w:rFonts w:ascii="Garamond" w:hAnsi="Garamond"/>
          <w:sz w:val="20"/>
          <w:szCs w:val="20"/>
          <w:lang w:val="en-US"/>
        </w:rPr>
        <w:t>:</w:t>
      </w:r>
      <w:r w:rsidRPr="00CC2948">
        <w:rPr>
          <w:rFonts w:ascii="Garamond" w:hAnsi="Garamond"/>
          <w:sz w:val="20"/>
          <w:szCs w:val="20"/>
          <w:lang w:val="en-US"/>
        </w:rPr>
        <w:t xml:space="preserve"> 105</w:t>
      </w:r>
      <w:r w:rsidR="00CC2948">
        <w:rPr>
          <w:rFonts w:ascii="Garamond" w:hAnsi="Garamond"/>
          <w:sz w:val="20"/>
          <w:szCs w:val="20"/>
          <w:lang w:val="en-US"/>
        </w:rPr>
        <w:t>–</w:t>
      </w:r>
      <w:r w:rsidRPr="00CC2948">
        <w:rPr>
          <w:rFonts w:ascii="Garamond" w:hAnsi="Garamond"/>
          <w:sz w:val="20"/>
          <w:szCs w:val="20"/>
          <w:lang w:val="en-US"/>
        </w:rPr>
        <w:t>116.</w:t>
      </w:r>
      <w:r w:rsidR="008E4C47">
        <w:rPr>
          <w:rFonts w:ascii="Garamond" w:hAnsi="Garamond"/>
          <w:color w:val="000000" w:themeColor="text1"/>
          <w:sz w:val="20"/>
          <w:szCs w:val="20"/>
          <w:lang w:val="en-US"/>
        </w:rPr>
        <w:t xml:space="preserve"> </w:t>
      </w:r>
      <w:hyperlink r:id="rId16" w:history="1">
        <w:r w:rsidR="008E4C47" w:rsidRPr="003B0CD9">
          <w:rPr>
            <w:rStyle w:val="Hyperlink"/>
            <w:rFonts w:ascii="Garamond" w:eastAsia="Times New Roman" w:hAnsi="Garamond" w:cs="Times New Roman"/>
            <w:color w:val="000000" w:themeColor="text1"/>
            <w:kern w:val="0"/>
            <w:sz w:val="20"/>
            <w:szCs w:val="20"/>
            <w:lang w:val="en-GB" w:eastAsia="it-IT"/>
            <w14:ligatures w14:val="none"/>
          </w:rPr>
          <w:t>https://doi.org/10.1016/j.techfore.2017.12.013</w:t>
        </w:r>
      </w:hyperlink>
    </w:p>
    <w:p w14:paraId="130E5084" w14:textId="77777777" w:rsidR="00CC2948" w:rsidRDefault="00CC2948" w:rsidP="00CC2948">
      <w:pPr>
        <w:rPr>
          <w:rFonts w:ascii="Garamond" w:eastAsia="Times New Roman" w:hAnsi="Garamond" w:cs="Times New Roman"/>
          <w:kern w:val="0"/>
          <w:sz w:val="20"/>
          <w:szCs w:val="20"/>
          <w:lang w:val="en-US" w:eastAsia="it-IT"/>
          <w14:ligatures w14:val="none"/>
        </w:rPr>
      </w:pPr>
    </w:p>
    <w:p w14:paraId="572678E8" w14:textId="54A2F744" w:rsidR="008E4C47" w:rsidRDefault="00FD06E1" w:rsidP="00CC2948">
      <w:pPr>
        <w:rPr>
          <w:rFonts w:ascii="Garamond" w:eastAsia="Times New Roman" w:hAnsi="Garamond" w:cs="Times New Roman"/>
          <w:kern w:val="0"/>
          <w:sz w:val="20"/>
          <w:szCs w:val="20"/>
          <w:lang w:val="en-US" w:eastAsia="it-IT"/>
          <w14:ligatures w14:val="none"/>
        </w:rPr>
      </w:pPr>
      <w:r w:rsidRPr="00CC2948">
        <w:rPr>
          <w:rFonts w:ascii="Garamond" w:eastAsia="Times New Roman" w:hAnsi="Garamond" w:cs="Times New Roman"/>
          <w:kern w:val="0"/>
          <w:sz w:val="20"/>
          <w:szCs w:val="20"/>
          <w:lang w:val="en-US" w:eastAsia="it-IT"/>
          <w14:ligatures w14:val="none"/>
        </w:rPr>
        <w:t xml:space="preserve">Sakellariou, E., </w:t>
      </w:r>
      <w:proofErr w:type="spellStart"/>
      <w:r w:rsidRPr="00CC2948">
        <w:rPr>
          <w:rFonts w:ascii="Garamond" w:eastAsia="Times New Roman" w:hAnsi="Garamond" w:cs="Times New Roman"/>
          <w:kern w:val="0"/>
          <w:sz w:val="20"/>
          <w:szCs w:val="20"/>
          <w:lang w:val="en-US" w:eastAsia="it-IT"/>
          <w14:ligatures w14:val="none"/>
        </w:rPr>
        <w:t>Karantinou</w:t>
      </w:r>
      <w:proofErr w:type="spellEnd"/>
      <w:r w:rsidRPr="00CC2948">
        <w:rPr>
          <w:rFonts w:ascii="Garamond" w:eastAsia="Times New Roman" w:hAnsi="Garamond" w:cs="Times New Roman"/>
          <w:kern w:val="0"/>
          <w:sz w:val="20"/>
          <w:szCs w:val="20"/>
          <w:lang w:val="en-US" w:eastAsia="it-IT"/>
          <w14:ligatures w14:val="none"/>
        </w:rPr>
        <w:t>, K. and Goffin, K. 2020</w:t>
      </w:r>
      <w:r w:rsidR="00CC2948">
        <w:rPr>
          <w:rFonts w:ascii="Garamond" w:eastAsia="Times New Roman" w:hAnsi="Garamond" w:cs="Times New Roman"/>
          <w:kern w:val="0"/>
          <w:sz w:val="20"/>
          <w:szCs w:val="20"/>
          <w:lang w:val="en-US" w:eastAsia="it-IT"/>
          <w14:ligatures w14:val="none"/>
        </w:rPr>
        <w:t>.</w:t>
      </w:r>
      <w:r w:rsidRPr="00CC2948">
        <w:rPr>
          <w:rFonts w:ascii="Garamond" w:eastAsia="Times New Roman" w:hAnsi="Garamond" w:cs="Times New Roman"/>
          <w:kern w:val="0"/>
          <w:sz w:val="20"/>
          <w:szCs w:val="20"/>
          <w:lang w:val="en-US" w:eastAsia="it-IT"/>
          <w14:ligatures w14:val="none"/>
        </w:rPr>
        <w:t xml:space="preserve"> From user insights to user foresights: Applying video-based </w:t>
      </w:r>
      <w:r w:rsidRPr="0016506D">
        <w:rPr>
          <w:rFonts w:ascii="Garamond" w:eastAsia="Times New Roman" w:hAnsi="Garamond" w:cs="Times New Roman"/>
          <w:color w:val="000000" w:themeColor="text1"/>
          <w:kern w:val="0"/>
          <w:sz w:val="20"/>
          <w:szCs w:val="20"/>
          <w:lang w:val="en-US" w:eastAsia="it-IT"/>
          <w14:ligatures w14:val="none"/>
        </w:rPr>
        <w:t>ethnographic narratives and user innovation in NPD</w:t>
      </w:r>
      <w:r w:rsidR="00CC2948" w:rsidRPr="0016506D">
        <w:rPr>
          <w:rFonts w:ascii="Garamond" w:eastAsia="Times New Roman" w:hAnsi="Garamond" w:cs="Times New Roman"/>
          <w:color w:val="000000" w:themeColor="text1"/>
          <w:kern w:val="0"/>
          <w:sz w:val="20"/>
          <w:szCs w:val="20"/>
          <w:lang w:val="en-US" w:eastAsia="it-IT"/>
          <w14:ligatures w14:val="none"/>
        </w:rPr>
        <w:t>.</w:t>
      </w:r>
      <w:r w:rsidRPr="0016506D">
        <w:rPr>
          <w:rFonts w:ascii="Garamond" w:eastAsia="Times New Roman" w:hAnsi="Garamond" w:cs="Times New Roman"/>
          <w:color w:val="000000" w:themeColor="text1"/>
          <w:kern w:val="0"/>
          <w:sz w:val="20"/>
          <w:szCs w:val="20"/>
          <w:lang w:val="en-US" w:eastAsia="it-IT"/>
          <w14:ligatures w14:val="none"/>
        </w:rPr>
        <w:t> </w:t>
      </w:r>
      <w:r w:rsidRPr="0016506D">
        <w:rPr>
          <w:rFonts w:ascii="Garamond" w:eastAsia="Times New Roman" w:hAnsi="Garamond" w:cs="Times New Roman"/>
          <w:i/>
          <w:color w:val="000000" w:themeColor="text1"/>
          <w:kern w:val="0"/>
          <w:sz w:val="20"/>
          <w:szCs w:val="20"/>
          <w:lang w:val="en-US" w:eastAsia="it-IT"/>
          <w14:ligatures w14:val="none"/>
        </w:rPr>
        <w:t>Technological Forecasting and Social Change</w:t>
      </w:r>
      <w:r w:rsidRPr="0016506D">
        <w:rPr>
          <w:rFonts w:ascii="Garamond" w:eastAsia="Times New Roman" w:hAnsi="Garamond" w:cs="Times New Roman"/>
          <w:color w:val="000000" w:themeColor="text1"/>
          <w:kern w:val="0"/>
          <w:sz w:val="20"/>
          <w:szCs w:val="20"/>
          <w:lang w:val="en-US" w:eastAsia="it-IT"/>
          <w14:ligatures w14:val="none"/>
        </w:rPr>
        <w:t xml:space="preserve"> </w:t>
      </w:r>
      <w:r w:rsidR="008E4C47" w:rsidRPr="0016506D">
        <w:rPr>
          <w:rFonts w:ascii="Garamond" w:eastAsia="Times New Roman" w:hAnsi="Garamond" w:cs="Times New Roman"/>
          <w:color w:val="000000" w:themeColor="text1"/>
          <w:kern w:val="0"/>
          <w:sz w:val="20"/>
          <w:szCs w:val="20"/>
          <w:lang w:val="en-US" w:eastAsia="it-IT"/>
          <w14:ligatures w14:val="none"/>
        </w:rPr>
        <w:t>153(2):</w:t>
      </w:r>
      <w:r w:rsidRPr="0016506D">
        <w:rPr>
          <w:rFonts w:ascii="Garamond" w:eastAsia="Times New Roman" w:hAnsi="Garamond" w:cs="Times New Roman"/>
          <w:color w:val="000000" w:themeColor="text1"/>
          <w:kern w:val="0"/>
          <w:sz w:val="20"/>
          <w:szCs w:val="20"/>
          <w:lang w:val="en-US" w:eastAsia="it-IT"/>
          <w14:ligatures w14:val="none"/>
        </w:rPr>
        <w:t xml:space="preserve"> 119873. </w:t>
      </w:r>
      <w:r w:rsidR="008E4C47" w:rsidRPr="003B0CD9">
        <w:rPr>
          <w:rFonts w:ascii="Garamond" w:eastAsia="Times New Roman" w:hAnsi="Garamond" w:cs="Times New Roman"/>
          <w:color w:val="000000" w:themeColor="text1"/>
          <w:kern w:val="0"/>
          <w:sz w:val="20"/>
          <w:szCs w:val="20"/>
          <w:lang w:val="en-GB" w:eastAsia="it-IT"/>
          <w14:ligatures w14:val="none"/>
        </w:rPr>
        <w:t xml:space="preserve">Doi: </w:t>
      </w:r>
      <w:hyperlink r:id="rId17" w:tgtFrame="_blank" w:history="1">
        <w:r w:rsidR="008E4C47" w:rsidRPr="003B0CD9">
          <w:rPr>
            <w:rStyle w:val="Hyperlink"/>
            <w:rFonts w:ascii="Garamond" w:eastAsia="Times New Roman" w:hAnsi="Garamond" w:cs="Times New Roman"/>
            <w:color w:val="000000" w:themeColor="text1"/>
            <w:kern w:val="0"/>
            <w:sz w:val="20"/>
            <w:szCs w:val="20"/>
            <w:lang w:val="en-GB" w:eastAsia="it-IT"/>
            <w14:ligatures w14:val="none"/>
          </w:rPr>
          <w:t>10.1016/j.techfore.2019.119873</w:t>
        </w:r>
      </w:hyperlink>
    </w:p>
    <w:p w14:paraId="1CD00187" w14:textId="77777777" w:rsidR="00CC2948" w:rsidRDefault="00CC2948" w:rsidP="00CC2948">
      <w:pPr>
        <w:rPr>
          <w:rFonts w:ascii="Garamond" w:eastAsia="Times New Roman" w:hAnsi="Garamond" w:cs="Times New Roman"/>
          <w:kern w:val="0"/>
          <w:sz w:val="20"/>
          <w:szCs w:val="20"/>
          <w:lang w:val="en-US" w:eastAsia="it-IT"/>
          <w14:ligatures w14:val="none"/>
        </w:rPr>
      </w:pPr>
    </w:p>
    <w:p w14:paraId="3E73591D" w14:textId="70EE534D" w:rsidR="0016506D" w:rsidRPr="0016506D" w:rsidRDefault="00FD06E1" w:rsidP="0016506D">
      <w:pPr>
        <w:rPr>
          <w:rFonts w:ascii="Garamond" w:eastAsia="Times New Roman" w:hAnsi="Garamond" w:cs="Times New Roman"/>
          <w:color w:val="000000" w:themeColor="text1"/>
          <w:kern w:val="0"/>
          <w:sz w:val="20"/>
          <w:szCs w:val="20"/>
          <w:lang w:val="en-US" w:eastAsia="it-IT"/>
          <w14:ligatures w14:val="none"/>
        </w:rPr>
      </w:pPr>
      <w:r w:rsidRPr="00CC2948">
        <w:rPr>
          <w:rFonts w:ascii="Garamond" w:eastAsia="Times New Roman" w:hAnsi="Garamond" w:cs="Times New Roman"/>
          <w:kern w:val="0"/>
          <w:sz w:val="20"/>
          <w:szCs w:val="20"/>
          <w:lang w:val="en-US" w:eastAsia="it-IT"/>
          <w14:ligatures w14:val="none"/>
        </w:rPr>
        <w:t xml:space="preserve">Sarpong, D. and </w:t>
      </w:r>
      <w:r w:rsidRPr="0016506D">
        <w:rPr>
          <w:rFonts w:ascii="Garamond" w:eastAsia="Times New Roman" w:hAnsi="Garamond" w:cs="Times New Roman"/>
          <w:color w:val="000000" w:themeColor="text1"/>
          <w:kern w:val="0"/>
          <w:sz w:val="20"/>
          <w:szCs w:val="20"/>
          <w:lang w:val="en-US" w:eastAsia="it-IT"/>
          <w14:ligatures w14:val="none"/>
        </w:rPr>
        <w:t>Meissner, D. 2018</w:t>
      </w:r>
      <w:r w:rsidR="008E4C47" w:rsidRPr="0016506D">
        <w:rPr>
          <w:rFonts w:ascii="Garamond" w:eastAsia="Times New Roman" w:hAnsi="Garamond" w:cs="Times New Roman"/>
          <w:color w:val="000000" w:themeColor="text1"/>
          <w:kern w:val="0"/>
          <w:sz w:val="20"/>
          <w:szCs w:val="20"/>
          <w:lang w:val="en-US" w:eastAsia="it-IT"/>
          <w14:ligatures w14:val="none"/>
        </w:rPr>
        <w:t>.</w:t>
      </w:r>
      <w:r w:rsidRPr="0016506D">
        <w:rPr>
          <w:rFonts w:ascii="Garamond" w:eastAsia="Times New Roman" w:hAnsi="Garamond" w:cs="Times New Roman"/>
          <w:color w:val="000000" w:themeColor="text1"/>
          <w:kern w:val="0"/>
          <w:sz w:val="20"/>
          <w:szCs w:val="20"/>
          <w:lang w:val="en-US" w:eastAsia="it-IT"/>
          <w14:ligatures w14:val="none"/>
        </w:rPr>
        <w:t xml:space="preserve"> Special issue on corporate foresight and innovation management</w:t>
      </w:r>
      <w:r w:rsidR="008E4C47" w:rsidRPr="0016506D">
        <w:rPr>
          <w:rFonts w:ascii="Garamond" w:eastAsia="Times New Roman" w:hAnsi="Garamond" w:cs="Times New Roman"/>
          <w:color w:val="000000" w:themeColor="text1"/>
          <w:kern w:val="0"/>
          <w:sz w:val="20"/>
          <w:szCs w:val="20"/>
          <w:lang w:val="en-US" w:eastAsia="it-IT"/>
          <w14:ligatures w14:val="none"/>
        </w:rPr>
        <w:t>.</w:t>
      </w:r>
      <w:r w:rsidRPr="0016506D">
        <w:rPr>
          <w:rFonts w:ascii="Garamond" w:eastAsia="Times New Roman" w:hAnsi="Garamond" w:cs="Times New Roman"/>
          <w:color w:val="000000" w:themeColor="text1"/>
          <w:kern w:val="0"/>
          <w:sz w:val="20"/>
          <w:szCs w:val="20"/>
          <w:lang w:val="en-US" w:eastAsia="it-IT"/>
          <w14:ligatures w14:val="none"/>
        </w:rPr>
        <w:t xml:space="preserve"> </w:t>
      </w:r>
      <w:r w:rsidRPr="0016506D">
        <w:rPr>
          <w:rFonts w:ascii="Garamond" w:eastAsia="Times New Roman" w:hAnsi="Garamond" w:cs="Times New Roman"/>
          <w:i/>
          <w:iCs/>
          <w:color w:val="000000" w:themeColor="text1"/>
          <w:kern w:val="0"/>
          <w:sz w:val="20"/>
          <w:szCs w:val="20"/>
          <w:lang w:val="en-US" w:eastAsia="it-IT"/>
          <w14:ligatures w14:val="none"/>
        </w:rPr>
        <w:t>Technology Analysis &amp; Strategic Management</w:t>
      </w:r>
      <w:r w:rsidRPr="0016506D">
        <w:rPr>
          <w:rFonts w:ascii="Garamond" w:eastAsia="Times New Roman" w:hAnsi="Garamond" w:cs="Times New Roman"/>
          <w:color w:val="000000" w:themeColor="text1"/>
          <w:kern w:val="0"/>
          <w:sz w:val="20"/>
          <w:szCs w:val="20"/>
          <w:lang w:val="en-US" w:eastAsia="it-IT"/>
          <w14:ligatures w14:val="none"/>
        </w:rPr>
        <w:t xml:space="preserve"> 30(6)</w:t>
      </w:r>
      <w:r w:rsidR="008E4C47" w:rsidRPr="0016506D">
        <w:rPr>
          <w:rFonts w:ascii="Garamond" w:eastAsia="Times New Roman" w:hAnsi="Garamond" w:cs="Times New Roman"/>
          <w:color w:val="000000" w:themeColor="text1"/>
          <w:kern w:val="0"/>
          <w:sz w:val="20"/>
          <w:szCs w:val="20"/>
          <w:lang w:val="en-US" w:eastAsia="it-IT"/>
          <w14:ligatures w14:val="none"/>
        </w:rPr>
        <w:t>:</w:t>
      </w:r>
      <w:r w:rsidRPr="0016506D">
        <w:rPr>
          <w:rFonts w:ascii="Garamond" w:eastAsia="Times New Roman" w:hAnsi="Garamond" w:cs="Times New Roman"/>
          <w:color w:val="000000" w:themeColor="text1"/>
          <w:kern w:val="0"/>
          <w:sz w:val="20"/>
          <w:szCs w:val="20"/>
          <w:lang w:val="en-US" w:eastAsia="it-IT"/>
          <w14:ligatures w14:val="none"/>
        </w:rPr>
        <w:t xml:space="preserve"> 625</w:t>
      </w:r>
      <w:r w:rsidR="008E4C47" w:rsidRPr="0016506D">
        <w:rPr>
          <w:rFonts w:ascii="Garamond" w:eastAsia="Times New Roman" w:hAnsi="Garamond" w:cs="Times New Roman"/>
          <w:color w:val="000000" w:themeColor="text1"/>
          <w:kern w:val="0"/>
          <w:sz w:val="20"/>
          <w:szCs w:val="20"/>
          <w:lang w:val="en-US" w:eastAsia="it-IT"/>
          <w14:ligatures w14:val="none"/>
        </w:rPr>
        <w:t>–</w:t>
      </w:r>
      <w:r w:rsidRPr="0016506D">
        <w:rPr>
          <w:rFonts w:ascii="Garamond" w:eastAsia="Times New Roman" w:hAnsi="Garamond" w:cs="Times New Roman"/>
          <w:color w:val="000000" w:themeColor="text1"/>
          <w:kern w:val="0"/>
          <w:sz w:val="20"/>
          <w:szCs w:val="20"/>
          <w:lang w:val="en-US" w:eastAsia="it-IT"/>
          <w14:ligatures w14:val="none"/>
        </w:rPr>
        <w:t>632.</w:t>
      </w:r>
      <w:r w:rsidR="0016506D" w:rsidRPr="0016506D">
        <w:rPr>
          <w:rFonts w:ascii="Garamond" w:eastAsia="Times New Roman" w:hAnsi="Garamond" w:cs="Times New Roman"/>
          <w:color w:val="000000" w:themeColor="text1"/>
          <w:kern w:val="0"/>
          <w:sz w:val="20"/>
          <w:szCs w:val="20"/>
          <w:lang w:val="en-US" w:eastAsia="it-IT"/>
          <w14:ligatures w14:val="none"/>
        </w:rPr>
        <w:t xml:space="preserve"> </w:t>
      </w:r>
      <w:hyperlink r:id="rId18" w:history="1">
        <w:r w:rsidR="0016506D" w:rsidRPr="0016506D">
          <w:rPr>
            <w:rStyle w:val="Hyperlink"/>
            <w:rFonts w:ascii="Garamond" w:eastAsia="Times New Roman" w:hAnsi="Garamond" w:cs="Times New Roman"/>
            <w:color w:val="000000" w:themeColor="text1"/>
            <w:kern w:val="0"/>
            <w:sz w:val="20"/>
            <w:szCs w:val="20"/>
            <w:lang w:val="en-US" w:eastAsia="it-IT"/>
            <w14:ligatures w14:val="none"/>
          </w:rPr>
          <w:t>https://doi.org/10.1080/09537325.2018.1463934</w:t>
        </w:r>
      </w:hyperlink>
    </w:p>
    <w:p w14:paraId="4C26B48D" w14:textId="77777777" w:rsidR="00CC2948" w:rsidRDefault="00CC2948" w:rsidP="00CC2948">
      <w:pPr>
        <w:rPr>
          <w:rFonts w:ascii="Garamond" w:eastAsia="Times New Roman" w:hAnsi="Garamond" w:cs="Times New Roman"/>
          <w:kern w:val="0"/>
          <w:sz w:val="20"/>
          <w:szCs w:val="20"/>
          <w:lang w:val="en-US" w:eastAsia="it-IT"/>
          <w14:ligatures w14:val="none"/>
        </w:rPr>
      </w:pPr>
    </w:p>
    <w:p w14:paraId="5409EE24" w14:textId="7648445E" w:rsidR="00CC2948" w:rsidRPr="0016506D" w:rsidRDefault="00FD06E1" w:rsidP="00CC2948">
      <w:pPr>
        <w:rPr>
          <w:rFonts w:ascii="Garamond" w:hAnsi="Garamond"/>
          <w:color w:val="000000" w:themeColor="text1"/>
          <w:sz w:val="20"/>
          <w:szCs w:val="20"/>
          <w:lang w:val="en-US"/>
        </w:rPr>
      </w:pPr>
      <w:r w:rsidRPr="00CC2948">
        <w:rPr>
          <w:rFonts w:ascii="Garamond" w:hAnsi="Garamond"/>
          <w:sz w:val="20"/>
          <w:szCs w:val="20"/>
          <w:lang w:val="en-US"/>
        </w:rPr>
        <w:t xml:space="preserve">Simeone, L., </w:t>
      </w:r>
      <w:r w:rsidR="0016506D">
        <w:rPr>
          <w:rFonts w:ascii="Garamond" w:hAnsi="Garamond"/>
          <w:sz w:val="20"/>
          <w:szCs w:val="20"/>
          <w:lang w:val="en-US"/>
        </w:rPr>
        <w:t>and</w:t>
      </w:r>
      <w:r w:rsidRPr="00CC2948">
        <w:rPr>
          <w:rFonts w:ascii="Garamond" w:hAnsi="Garamond"/>
          <w:sz w:val="20"/>
          <w:szCs w:val="20"/>
          <w:lang w:val="en-US"/>
        </w:rPr>
        <w:t xml:space="preserve"> D’Ippolito, B. 2022. The potential of design-driven foresight to support strategy articulation through experiential learning. </w:t>
      </w:r>
      <w:r w:rsidRPr="00CC2948">
        <w:rPr>
          <w:rFonts w:ascii="Garamond" w:hAnsi="Garamond"/>
          <w:i/>
          <w:iCs/>
          <w:sz w:val="20"/>
          <w:szCs w:val="20"/>
          <w:lang w:val="en-US"/>
        </w:rPr>
        <w:t>Long Range Planning</w:t>
      </w:r>
      <w:r w:rsidRPr="00CC2948">
        <w:rPr>
          <w:rFonts w:ascii="Garamond" w:hAnsi="Garamond"/>
          <w:sz w:val="20"/>
          <w:szCs w:val="20"/>
          <w:lang w:val="en-US"/>
        </w:rPr>
        <w:t xml:space="preserve"> 55(6)</w:t>
      </w:r>
      <w:r w:rsidR="0016506D">
        <w:rPr>
          <w:rFonts w:ascii="Garamond" w:hAnsi="Garamond"/>
          <w:sz w:val="20"/>
          <w:szCs w:val="20"/>
          <w:lang w:val="en-US"/>
        </w:rPr>
        <w:t xml:space="preserve">: </w:t>
      </w:r>
      <w:r w:rsidRPr="00CC2948">
        <w:rPr>
          <w:rFonts w:ascii="Garamond" w:hAnsi="Garamond"/>
          <w:sz w:val="20"/>
          <w:szCs w:val="20"/>
          <w:lang w:val="en-US"/>
        </w:rPr>
        <w:t xml:space="preserve">102181. </w:t>
      </w:r>
      <w:hyperlink r:id="rId19" w:history="1">
        <w:r w:rsidR="0016506D" w:rsidRPr="003B0CD9">
          <w:rPr>
            <w:rStyle w:val="Hyperlink"/>
            <w:rFonts w:ascii="Garamond" w:hAnsi="Garamond"/>
            <w:sz w:val="20"/>
            <w:szCs w:val="20"/>
            <w:lang w:val="en-GB"/>
          </w:rPr>
          <w:t>https://doi.org/10.1016/j.lrp.2021.102181</w:t>
        </w:r>
      </w:hyperlink>
    </w:p>
    <w:p w14:paraId="32C2E77C" w14:textId="77777777" w:rsidR="0016506D" w:rsidRDefault="0016506D" w:rsidP="00CC2948">
      <w:pPr>
        <w:rPr>
          <w:rFonts w:ascii="Garamond" w:hAnsi="Garamond"/>
          <w:sz w:val="20"/>
          <w:szCs w:val="20"/>
          <w:lang w:val="en-US"/>
        </w:rPr>
      </w:pPr>
    </w:p>
    <w:p w14:paraId="066C4FC8" w14:textId="7B2A4E4B" w:rsidR="00FD06E1" w:rsidRPr="00CC2948" w:rsidRDefault="00FD06E1" w:rsidP="00CC2948">
      <w:pPr>
        <w:rPr>
          <w:rFonts w:ascii="Garamond" w:eastAsia="Times New Roman" w:hAnsi="Garamond" w:cs="Times New Roman"/>
          <w:kern w:val="0"/>
          <w:sz w:val="20"/>
          <w:szCs w:val="20"/>
          <w:lang w:val="en-US" w:eastAsia="it-IT"/>
          <w14:ligatures w14:val="none"/>
        </w:rPr>
      </w:pPr>
      <w:r w:rsidRPr="00CC2948">
        <w:rPr>
          <w:rFonts w:ascii="Garamond" w:hAnsi="Garamond"/>
          <w:sz w:val="20"/>
          <w:szCs w:val="20"/>
          <w:lang w:val="en-US"/>
        </w:rPr>
        <w:t xml:space="preserve">Tharp, B. M. </w:t>
      </w:r>
      <w:r w:rsidR="0016506D">
        <w:rPr>
          <w:rFonts w:ascii="Garamond" w:hAnsi="Garamond"/>
          <w:sz w:val="20"/>
          <w:szCs w:val="20"/>
          <w:lang w:val="en-US"/>
        </w:rPr>
        <w:t>and</w:t>
      </w:r>
      <w:r w:rsidRPr="00CC2948">
        <w:rPr>
          <w:rFonts w:ascii="Garamond" w:hAnsi="Garamond"/>
          <w:sz w:val="20"/>
          <w:szCs w:val="20"/>
          <w:lang w:val="en-US"/>
        </w:rPr>
        <w:t xml:space="preserve"> Tharp, S. M. 2019. </w:t>
      </w:r>
      <w:r w:rsidRPr="00CC2948">
        <w:rPr>
          <w:rFonts w:ascii="Garamond" w:hAnsi="Garamond"/>
          <w:i/>
          <w:iCs/>
          <w:sz w:val="20"/>
          <w:szCs w:val="20"/>
          <w:lang w:val="en-US"/>
        </w:rPr>
        <w:t>Discursive Design. Critical, Speculative, and Alternative Things</w:t>
      </w:r>
      <w:r w:rsidRPr="00CC2948">
        <w:rPr>
          <w:rFonts w:ascii="Garamond" w:hAnsi="Garamond"/>
          <w:sz w:val="20"/>
          <w:szCs w:val="20"/>
          <w:lang w:val="en-US"/>
        </w:rPr>
        <w:t xml:space="preserve">. </w:t>
      </w:r>
      <w:r w:rsidR="0016506D">
        <w:rPr>
          <w:rFonts w:ascii="Garamond" w:hAnsi="Garamond"/>
          <w:sz w:val="20"/>
          <w:szCs w:val="20"/>
          <w:lang w:val="en-US"/>
        </w:rPr>
        <w:t xml:space="preserve">Cambridge, MA: </w:t>
      </w:r>
      <w:r w:rsidRPr="00CC2948">
        <w:rPr>
          <w:rFonts w:ascii="Garamond" w:hAnsi="Garamond"/>
          <w:sz w:val="20"/>
          <w:szCs w:val="20"/>
          <w:lang w:val="en-US"/>
        </w:rPr>
        <w:t>MIT Press.</w:t>
      </w:r>
    </w:p>
    <w:p w14:paraId="1329036E" w14:textId="77777777" w:rsidR="00CC2948" w:rsidRDefault="00CC2948" w:rsidP="00CC2948">
      <w:pPr>
        <w:rPr>
          <w:rFonts w:ascii="Garamond" w:hAnsi="Garamond"/>
          <w:sz w:val="20"/>
          <w:szCs w:val="20"/>
          <w:lang w:val="en-US"/>
        </w:rPr>
      </w:pPr>
    </w:p>
    <w:p w14:paraId="6AD5492B" w14:textId="38C44927" w:rsidR="0016506D" w:rsidRPr="0016506D" w:rsidRDefault="00FD06E1" w:rsidP="00CC2948">
      <w:pPr>
        <w:rPr>
          <w:rFonts w:ascii="Garamond" w:hAnsi="Garamond"/>
          <w:sz w:val="20"/>
          <w:szCs w:val="20"/>
          <w:lang w:val="en-US"/>
        </w:rPr>
      </w:pPr>
      <w:r w:rsidRPr="00CC2948">
        <w:rPr>
          <w:rFonts w:ascii="Garamond" w:hAnsi="Garamond"/>
          <w:sz w:val="20"/>
          <w:szCs w:val="20"/>
          <w:lang w:val="en-US"/>
        </w:rPr>
        <w:t>Vecchiato, R. 2012. Environmental uncertainty, foresight and strategic decision making: An integrated study</w:t>
      </w:r>
      <w:r w:rsidR="0016506D">
        <w:rPr>
          <w:rFonts w:ascii="Garamond" w:hAnsi="Garamond"/>
          <w:sz w:val="20"/>
          <w:szCs w:val="20"/>
          <w:lang w:val="en-US"/>
        </w:rPr>
        <w:t>.</w:t>
      </w:r>
      <w:r w:rsidRPr="00CC2948">
        <w:rPr>
          <w:rFonts w:ascii="Garamond" w:hAnsi="Garamond"/>
          <w:sz w:val="20"/>
          <w:szCs w:val="20"/>
          <w:lang w:val="en-US"/>
        </w:rPr>
        <w:t xml:space="preserve"> </w:t>
      </w:r>
      <w:r w:rsidRPr="00CC2948">
        <w:rPr>
          <w:rFonts w:ascii="Garamond" w:hAnsi="Garamond"/>
          <w:i/>
          <w:iCs/>
          <w:sz w:val="20"/>
          <w:szCs w:val="20"/>
          <w:lang w:val="en-US"/>
        </w:rPr>
        <w:t>Technological Forecasting and Social Change</w:t>
      </w:r>
      <w:r w:rsidRPr="00CC2948">
        <w:rPr>
          <w:rFonts w:ascii="Garamond" w:hAnsi="Garamond"/>
          <w:sz w:val="20"/>
          <w:szCs w:val="20"/>
          <w:lang w:val="en-US"/>
        </w:rPr>
        <w:t xml:space="preserve"> 79</w:t>
      </w:r>
      <w:r w:rsidR="0016506D">
        <w:rPr>
          <w:rFonts w:ascii="Garamond" w:hAnsi="Garamond"/>
          <w:sz w:val="20"/>
          <w:szCs w:val="20"/>
          <w:lang w:val="en-US"/>
        </w:rPr>
        <w:t>(</w:t>
      </w:r>
      <w:r w:rsidRPr="00CC2948">
        <w:rPr>
          <w:rFonts w:ascii="Garamond" w:hAnsi="Garamond"/>
          <w:sz w:val="20"/>
          <w:szCs w:val="20"/>
          <w:lang w:val="en-US"/>
        </w:rPr>
        <w:t>3</w:t>
      </w:r>
      <w:r w:rsidR="0016506D">
        <w:rPr>
          <w:rFonts w:ascii="Garamond" w:hAnsi="Garamond"/>
          <w:sz w:val="20"/>
          <w:szCs w:val="20"/>
          <w:lang w:val="en-US"/>
        </w:rPr>
        <w:t>):</w:t>
      </w:r>
      <w:r w:rsidRPr="00CC2948">
        <w:rPr>
          <w:rFonts w:ascii="Garamond" w:hAnsi="Garamond"/>
          <w:sz w:val="20"/>
          <w:szCs w:val="20"/>
          <w:lang w:val="en-US"/>
        </w:rPr>
        <w:t xml:space="preserve"> 436</w:t>
      </w:r>
      <w:r w:rsidR="0016506D">
        <w:rPr>
          <w:rFonts w:ascii="Garamond" w:hAnsi="Garamond"/>
          <w:sz w:val="20"/>
          <w:szCs w:val="20"/>
          <w:lang w:val="en-US"/>
        </w:rPr>
        <w:t>–</w:t>
      </w:r>
      <w:r w:rsidRPr="00CC2948">
        <w:rPr>
          <w:rFonts w:ascii="Garamond" w:hAnsi="Garamond"/>
          <w:sz w:val="20"/>
          <w:szCs w:val="20"/>
          <w:lang w:val="en-US"/>
        </w:rPr>
        <w:t>447.</w:t>
      </w:r>
      <w:r w:rsidR="0016506D">
        <w:rPr>
          <w:rFonts w:ascii="Garamond" w:hAnsi="Garamond"/>
          <w:sz w:val="20"/>
          <w:szCs w:val="20"/>
          <w:lang w:val="en-US"/>
        </w:rPr>
        <w:t xml:space="preserve"> </w:t>
      </w:r>
      <w:hyperlink r:id="rId20" w:history="1">
        <w:r w:rsidR="0016506D" w:rsidRPr="003B0CD9">
          <w:rPr>
            <w:rStyle w:val="Hyperlink"/>
            <w:rFonts w:ascii="Garamond" w:eastAsia="Times New Roman" w:hAnsi="Garamond" w:cs="Times New Roman"/>
            <w:kern w:val="0"/>
            <w:sz w:val="20"/>
            <w:szCs w:val="20"/>
            <w:lang w:val="en-GB" w:eastAsia="it-IT"/>
            <w14:ligatures w14:val="none"/>
          </w:rPr>
          <w:t>https://doi.org/10.1016/j.techfore.2011.07.010</w:t>
        </w:r>
      </w:hyperlink>
    </w:p>
    <w:p w14:paraId="72AA5171" w14:textId="77777777" w:rsidR="00CC2948" w:rsidRDefault="00CC2948" w:rsidP="00CC2948">
      <w:pPr>
        <w:rPr>
          <w:rFonts w:ascii="Garamond" w:hAnsi="Garamond"/>
          <w:sz w:val="20"/>
          <w:szCs w:val="20"/>
          <w:lang w:val="en-US"/>
        </w:rPr>
      </w:pPr>
    </w:p>
    <w:p w14:paraId="3F18050B" w14:textId="35EB3D95" w:rsidR="00CC2948" w:rsidRDefault="00FD06E1" w:rsidP="00CC2948">
      <w:pPr>
        <w:rPr>
          <w:rFonts w:ascii="Garamond" w:eastAsia="Times New Roman" w:hAnsi="Garamond" w:cs="Times New Roman"/>
          <w:kern w:val="0"/>
          <w:sz w:val="20"/>
          <w:szCs w:val="20"/>
          <w:lang w:val="en-US" w:eastAsia="it-IT"/>
          <w14:ligatures w14:val="none"/>
        </w:rPr>
      </w:pPr>
      <w:r w:rsidRPr="00CC2948">
        <w:rPr>
          <w:rFonts w:ascii="Garamond" w:hAnsi="Garamond"/>
          <w:sz w:val="20"/>
          <w:szCs w:val="20"/>
          <w:lang w:val="en-US"/>
        </w:rPr>
        <w:t>Vecchiato, R. 2015</w:t>
      </w:r>
      <w:r w:rsidR="0016506D">
        <w:rPr>
          <w:rFonts w:ascii="Garamond" w:hAnsi="Garamond"/>
          <w:sz w:val="20"/>
          <w:szCs w:val="20"/>
          <w:lang w:val="en-US"/>
        </w:rPr>
        <w:t>.</w:t>
      </w:r>
      <w:r w:rsidRPr="00CC2948">
        <w:rPr>
          <w:rFonts w:ascii="Garamond" w:hAnsi="Garamond"/>
          <w:sz w:val="20"/>
          <w:szCs w:val="20"/>
          <w:lang w:val="en-US"/>
        </w:rPr>
        <w:t> Creating value through foresight : first mover advantages and strategic agility</w:t>
      </w:r>
      <w:r w:rsidR="0016506D">
        <w:rPr>
          <w:rFonts w:ascii="Garamond" w:hAnsi="Garamond"/>
          <w:sz w:val="20"/>
          <w:szCs w:val="20"/>
          <w:lang w:val="en-US"/>
        </w:rPr>
        <w:t>.</w:t>
      </w:r>
      <w:r w:rsidRPr="00CC2948">
        <w:rPr>
          <w:rFonts w:ascii="Garamond" w:hAnsi="Garamond"/>
          <w:sz w:val="20"/>
          <w:szCs w:val="20"/>
          <w:lang w:val="en-US"/>
        </w:rPr>
        <w:t xml:space="preserve"> </w:t>
      </w:r>
      <w:r w:rsidRPr="00CC2948">
        <w:rPr>
          <w:rFonts w:ascii="Garamond" w:hAnsi="Garamond"/>
          <w:i/>
          <w:sz w:val="20"/>
          <w:szCs w:val="20"/>
          <w:lang w:val="en-US"/>
        </w:rPr>
        <w:t>Technological Forecasting and Social Change</w:t>
      </w:r>
      <w:r w:rsidRPr="00CC2948">
        <w:rPr>
          <w:rFonts w:ascii="Garamond" w:hAnsi="Garamond"/>
          <w:sz w:val="20"/>
          <w:szCs w:val="20"/>
          <w:lang w:val="en-US"/>
        </w:rPr>
        <w:t xml:space="preserve"> 101</w:t>
      </w:r>
      <w:r w:rsidR="0016506D">
        <w:rPr>
          <w:rFonts w:ascii="Garamond" w:hAnsi="Garamond"/>
          <w:sz w:val="20"/>
          <w:szCs w:val="20"/>
          <w:lang w:val="en-US"/>
        </w:rPr>
        <w:t xml:space="preserve"> </w:t>
      </w:r>
      <w:r w:rsidRPr="00CC2948">
        <w:rPr>
          <w:rFonts w:ascii="Garamond" w:hAnsi="Garamond"/>
          <w:sz w:val="20"/>
          <w:szCs w:val="20"/>
          <w:lang w:val="en-US"/>
        </w:rPr>
        <w:t>25</w:t>
      </w:r>
      <w:r w:rsidR="0016506D">
        <w:rPr>
          <w:rFonts w:ascii="Garamond" w:hAnsi="Garamond"/>
          <w:sz w:val="20"/>
          <w:szCs w:val="20"/>
          <w:lang w:val="en-US"/>
        </w:rPr>
        <w:t>–</w:t>
      </w:r>
      <w:r w:rsidRPr="00CC2948">
        <w:rPr>
          <w:rFonts w:ascii="Garamond" w:hAnsi="Garamond"/>
          <w:sz w:val="20"/>
          <w:szCs w:val="20"/>
          <w:lang w:val="en-US"/>
        </w:rPr>
        <w:t>3</w:t>
      </w:r>
      <w:r w:rsidRPr="0016506D">
        <w:rPr>
          <w:rFonts w:ascii="Garamond" w:hAnsi="Garamond"/>
          <w:color w:val="000000" w:themeColor="text1"/>
          <w:sz w:val="20"/>
          <w:szCs w:val="20"/>
          <w:lang w:val="en-US"/>
        </w:rPr>
        <w:t>6.</w:t>
      </w:r>
      <w:r w:rsidR="0016506D" w:rsidRPr="0016506D">
        <w:rPr>
          <w:rFonts w:ascii="Garamond" w:hAnsi="Garamond"/>
          <w:color w:val="000000" w:themeColor="text1"/>
          <w:sz w:val="20"/>
          <w:szCs w:val="20"/>
          <w:lang w:val="en-US"/>
        </w:rPr>
        <w:t xml:space="preserve"> </w:t>
      </w:r>
      <w:hyperlink r:id="rId21" w:tgtFrame="_blank" w:tooltip="Persistent link using digital object identifier" w:history="1">
        <w:r w:rsidR="0016506D" w:rsidRPr="003B0CD9">
          <w:rPr>
            <w:rStyle w:val="Hyperlink"/>
            <w:rFonts w:ascii="Garamond" w:hAnsi="Garamond"/>
            <w:color w:val="000000" w:themeColor="text1"/>
            <w:sz w:val="20"/>
            <w:szCs w:val="20"/>
            <w:lang w:val="en-GB"/>
          </w:rPr>
          <w:t>https://doi.org/10.1016/j.techfore.2014.08.016</w:t>
        </w:r>
      </w:hyperlink>
    </w:p>
    <w:p w14:paraId="1445FE84" w14:textId="77777777" w:rsidR="00CC2948" w:rsidRDefault="00CC2948" w:rsidP="00CC2948">
      <w:pPr>
        <w:rPr>
          <w:rFonts w:ascii="Garamond" w:eastAsia="Times New Roman" w:hAnsi="Garamond" w:cs="Times New Roman"/>
          <w:kern w:val="0"/>
          <w:sz w:val="20"/>
          <w:szCs w:val="20"/>
          <w:lang w:val="en-US" w:eastAsia="it-IT"/>
          <w14:ligatures w14:val="none"/>
        </w:rPr>
      </w:pPr>
    </w:p>
    <w:p w14:paraId="3B0CCC1E" w14:textId="43E277A1" w:rsidR="00BC3BD1" w:rsidRPr="00BC3BD1" w:rsidRDefault="00FD06E1" w:rsidP="00BC3BD1">
      <w:pPr>
        <w:rPr>
          <w:rFonts w:ascii="Garamond" w:hAnsi="Garamond"/>
          <w:sz w:val="20"/>
          <w:szCs w:val="20"/>
          <w:lang w:val="en-US"/>
        </w:rPr>
      </w:pPr>
      <w:r w:rsidRPr="003B0CD9">
        <w:rPr>
          <w:rFonts w:ascii="Garamond" w:hAnsi="Garamond"/>
          <w:sz w:val="20"/>
          <w:szCs w:val="20"/>
        </w:rPr>
        <w:t xml:space="preserve">Verganti, R., Dell’Era, C. </w:t>
      </w:r>
      <w:r w:rsidR="00CC2948" w:rsidRPr="003B0CD9">
        <w:rPr>
          <w:rFonts w:ascii="Garamond" w:hAnsi="Garamond"/>
          <w:sz w:val="20"/>
          <w:szCs w:val="20"/>
        </w:rPr>
        <w:t>and</w:t>
      </w:r>
      <w:r w:rsidRPr="003B0CD9">
        <w:rPr>
          <w:rFonts w:ascii="Garamond" w:hAnsi="Garamond"/>
          <w:sz w:val="20"/>
          <w:szCs w:val="20"/>
        </w:rPr>
        <w:t xml:space="preserve"> Swan, K.</w:t>
      </w:r>
      <w:r w:rsidR="00CC2948" w:rsidRPr="003B0CD9">
        <w:rPr>
          <w:rFonts w:ascii="Garamond" w:hAnsi="Garamond"/>
          <w:sz w:val="20"/>
          <w:szCs w:val="20"/>
        </w:rPr>
        <w:t xml:space="preserve"> </w:t>
      </w:r>
      <w:r w:rsidRPr="003B0CD9">
        <w:rPr>
          <w:rFonts w:ascii="Garamond" w:hAnsi="Garamond"/>
          <w:sz w:val="20"/>
          <w:szCs w:val="20"/>
        </w:rPr>
        <w:t xml:space="preserve">S. 2021. </w:t>
      </w:r>
      <w:r w:rsidRPr="00CC2948">
        <w:rPr>
          <w:rFonts w:ascii="Garamond" w:hAnsi="Garamond"/>
          <w:sz w:val="20"/>
          <w:szCs w:val="20"/>
          <w:lang w:val="en-US"/>
        </w:rPr>
        <w:t xml:space="preserve">Design thinking: Critical analysis and future evolution. </w:t>
      </w:r>
      <w:r w:rsidRPr="00CC2948">
        <w:rPr>
          <w:rFonts w:ascii="Garamond" w:hAnsi="Garamond"/>
          <w:i/>
          <w:iCs/>
          <w:sz w:val="20"/>
          <w:szCs w:val="20"/>
          <w:lang w:val="en-US"/>
        </w:rPr>
        <w:t>Journal of Product Innovation Management</w:t>
      </w:r>
      <w:r w:rsidRPr="00CC2948">
        <w:rPr>
          <w:rFonts w:ascii="Garamond" w:hAnsi="Garamond"/>
          <w:sz w:val="20"/>
          <w:szCs w:val="20"/>
          <w:lang w:val="en-US"/>
        </w:rPr>
        <w:t xml:space="preserve"> 38: 603</w:t>
      </w:r>
      <w:r w:rsidR="00CC2948">
        <w:rPr>
          <w:rFonts w:ascii="Garamond" w:hAnsi="Garamond"/>
          <w:sz w:val="20"/>
          <w:szCs w:val="20"/>
          <w:lang w:val="en-US"/>
        </w:rPr>
        <w:t>–</w:t>
      </w:r>
      <w:r w:rsidRPr="00CC2948">
        <w:rPr>
          <w:rFonts w:ascii="Garamond" w:hAnsi="Garamond"/>
          <w:sz w:val="20"/>
          <w:szCs w:val="20"/>
          <w:lang w:val="en-US"/>
        </w:rPr>
        <w:t>622.</w:t>
      </w:r>
      <w:r w:rsidR="00BC3BD1">
        <w:rPr>
          <w:rFonts w:ascii="Garamond" w:hAnsi="Garamond"/>
          <w:sz w:val="20"/>
          <w:szCs w:val="20"/>
          <w:lang w:val="en-US"/>
        </w:rPr>
        <w:t xml:space="preserve"> </w:t>
      </w:r>
      <w:hyperlink r:id="rId22" w:history="1">
        <w:r w:rsidR="00BC3BD1" w:rsidRPr="00BC3BD1">
          <w:rPr>
            <w:rStyle w:val="Hyperlink"/>
            <w:rFonts w:ascii="Garamond" w:eastAsia="Times New Roman" w:hAnsi="Garamond" w:cs="Times New Roman"/>
            <w:kern w:val="0"/>
            <w:sz w:val="20"/>
            <w:szCs w:val="20"/>
            <w:lang w:val="en-US" w:eastAsia="it-IT"/>
            <w14:ligatures w14:val="none"/>
          </w:rPr>
          <w:t>https://doi.org/10.1111/jpim.12610</w:t>
        </w:r>
      </w:hyperlink>
    </w:p>
    <w:p w14:paraId="4EAE79DF" w14:textId="77777777" w:rsidR="00BC3BD1" w:rsidRPr="00343BCC" w:rsidRDefault="00BC3BD1" w:rsidP="007B0EB3">
      <w:pPr>
        <w:rPr>
          <w:rFonts w:ascii="Garamond" w:eastAsia="Times New Roman" w:hAnsi="Garamond" w:cs="Times New Roman"/>
          <w:kern w:val="0"/>
          <w:sz w:val="20"/>
          <w:szCs w:val="20"/>
          <w:lang w:val="en-US" w:eastAsia="it-IT"/>
          <w14:ligatures w14:val="none"/>
        </w:rPr>
      </w:pPr>
    </w:p>
    <w:sectPr w:rsidR="00BC3BD1" w:rsidRPr="00343BCC" w:rsidSect="00CD6C55">
      <w:pgSz w:w="12240" w:h="15840"/>
      <w:pgMar w:top="94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69A"/>
    <w:multiLevelType w:val="hybridMultilevel"/>
    <w:tmpl w:val="19A8A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E36842"/>
    <w:multiLevelType w:val="hybridMultilevel"/>
    <w:tmpl w:val="D020F8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9912C01"/>
    <w:multiLevelType w:val="multilevel"/>
    <w:tmpl w:val="B00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B390F"/>
    <w:multiLevelType w:val="multilevel"/>
    <w:tmpl w:val="669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D65726"/>
    <w:multiLevelType w:val="hybridMultilevel"/>
    <w:tmpl w:val="4290F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859235">
    <w:abstractNumId w:val="3"/>
  </w:num>
  <w:num w:numId="2" w16cid:durableId="427777076">
    <w:abstractNumId w:val="4"/>
  </w:num>
  <w:num w:numId="3" w16cid:durableId="1638409041">
    <w:abstractNumId w:val="0"/>
  </w:num>
  <w:num w:numId="4" w16cid:durableId="306319287">
    <w:abstractNumId w:val="1"/>
  </w:num>
  <w:num w:numId="5" w16cid:durableId="137057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19"/>
    <w:rsid w:val="00034A1A"/>
    <w:rsid w:val="000504D0"/>
    <w:rsid w:val="000F79C2"/>
    <w:rsid w:val="00164C6A"/>
    <w:rsid w:val="0016506D"/>
    <w:rsid w:val="001739B9"/>
    <w:rsid w:val="001821F4"/>
    <w:rsid w:val="001F4523"/>
    <w:rsid w:val="00223D25"/>
    <w:rsid w:val="00261CAF"/>
    <w:rsid w:val="00343BCC"/>
    <w:rsid w:val="00344E98"/>
    <w:rsid w:val="003A2CDC"/>
    <w:rsid w:val="003A3129"/>
    <w:rsid w:val="003A6E64"/>
    <w:rsid w:val="003B0CD9"/>
    <w:rsid w:val="00443913"/>
    <w:rsid w:val="004674EF"/>
    <w:rsid w:val="00472E81"/>
    <w:rsid w:val="00482E23"/>
    <w:rsid w:val="005518C9"/>
    <w:rsid w:val="00567E7F"/>
    <w:rsid w:val="00580FB4"/>
    <w:rsid w:val="005F3EBE"/>
    <w:rsid w:val="00620763"/>
    <w:rsid w:val="00643DD2"/>
    <w:rsid w:val="006577E7"/>
    <w:rsid w:val="006D6E2E"/>
    <w:rsid w:val="007369DB"/>
    <w:rsid w:val="007607F8"/>
    <w:rsid w:val="00764094"/>
    <w:rsid w:val="00781812"/>
    <w:rsid w:val="0079041D"/>
    <w:rsid w:val="007B0EB3"/>
    <w:rsid w:val="00841C8B"/>
    <w:rsid w:val="008815AA"/>
    <w:rsid w:val="008C6D20"/>
    <w:rsid w:val="008E1FA0"/>
    <w:rsid w:val="008E3284"/>
    <w:rsid w:val="008E4C47"/>
    <w:rsid w:val="00920CD4"/>
    <w:rsid w:val="009449B7"/>
    <w:rsid w:val="0095656C"/>
    <w:rsid w:val="00A32FEF"/>
    <w:rsid w:val="00A97F13"/>
    <w:rsid w:val="00AC0C17"/>
    <w:rsid w:val="00B250DE"/>
    <w:rsid w:val="00B46FAD"/>
    <w:rsid w:val="00B77BEA"/>
    <w:rsid w:val="00BA369E"/>
    <w:rsid w:val="00BC3BD1"/>
    <w:rsid w:val="00BD7407"/>
    <w:rsid w:val="00BE3CD2"/>
    <w:rsid w:val="00CB7352"/>
    <w:rsid w:val="00CC2948"/>
    <w:rsid w:val="00CC5F1F"/>
    <w:rsid w:val="00CD6C55"/>
    <w:rsid w:val="00CE6885"/>
    <w:rsid w:val="00D606D8"/>
    <w:rsid w:val="00D6111A"/>
    <w:rsid w:val="00D76164"/>
    <w:rsid w:val="00D92D29"/>
    <w:rsid w:val="00D9794F"/>
    <w:rsid w:val="00DC53CD"/>
    <w:rsid w:val="00E20AF8"/>
    <w:rsid w:val="00E27D38"/>
    <w:rsid w:val="00E30EA9"/>
    <w:rsid w:val="00E70657"/>
    <w:rsid w:val="00E82E8B"/>
    <w:rsid w:val="00EA0919"/>
    <w:rsid w:val="00EC0B06"/>
    <w:rsid w:val="00EC5E40"/>
    <w:rsid w:val="00F23E4E"/>
    <w:rsid w:val="00F24809"/>
    <w:rsid w:val="00F35D0B"/>
    <w:rsid w:val="00F624F3"/>
    <w:rsid w:val="00FB51FA"/>
    <w:rsid w:val="00FD06E1"/>
    <w:rsid w:val="00FD1044"/>
    <w:rsid w:val="00FE6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13B8"/>
  <w15:chartTrackingRefBased/>
  <w15:docId w15:val="{D453EBDD-8A8E-874F-9C7E-C68AB7CA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919"/>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DefaultParagraphFont"/>
    <w:rsid w:val="00472E81"/>
  </w:style>
  <w:style w:type="character" w:customStyle="1" w:styleId="outlook-search-highlight">
    <w:name w:val="outlook-search-highlight"/>
    <w:basedOn w:val="DefaultParagraphFont"/>
    <w:rsid w:val="00472E81"/>
  </w:style>
  <w:style w:type="paragraph" w:styleId="ListParagraph">
    <w:name w:val="List Paragraph"/>
    <w:basedOn w:val="Normal"/>
    <w:uiPriority w:val="34"/>
    <w:qFormat/>
    <w:rsid w:val="00D9794F"/>
    <w:pPr>
      <w:ind w:left="720"/>
      <w:contextualSpacing/>
    </w:pPr>
  </w:style>
  <w:style w:type="character" w:styleId="Hyperlink">
    <w:name w:val="Hyperlink"/>
    <w:basedOn w:val="DefaultParagraphFont"/>
    <w:uiPriority w:val="99"/>
    <w:unhideWhenUsed/>
    <w:rsid w:val="003A2CDC"/>
    <w:rPr>
      <w:color w:val="0563C1" w:themeColor="hyperlink"/>
      <w:u w:val="single"/>
    </w:rPr>
  </w:style>
  <w:style w:type="character" w:styleId="UnresolvedMention">
    <w:name w:val="Unresolved Mention"/>
    <w:basedOn w:val="DefaultParagraphFont"/>
    <w:uiPriority w:val="99"/>
    <w:semiHidden/>
    <w:unhideWhenUsed/>
    <w:rsid w:val="003A2CDC"/>
    <w:rPr>
      <w:color w:val="605E5C"/>
      <w:shd w:val="clear" w:color="auto" w:fill="E1DFDD"/>
    </w:rPr>
  </w:style>
  <w:style w:type="paragraph" w:styleId="Revision">
    <w:name w:val="Revision"/>
    <w:hidden/>
    <w:uiPriority w:val="99"/>
    <w:semiHidden/>
    <w:rsid w:val="00FD1044"/>
  </w:style>
  <w:style w:type="character" w:styleId="CommentReference">
    <w:name w:val="annotation reference"/>
    <w:basedOn w:val="DefaultParagraphFont"/>
    <w:uiPriority w:val="99"/>
    <w:semiHidden/>
    <w:unhideWhenUsed/>
    <w:rsid w:val="00E30EA9"/>
    <w:rPr>
      <w:sz w:val="16"/>
      <w:szCs w:val="16"/>
    </w:rPr>
  </w:style>
  <w:style w:type="paragraph" w:styleId="CommentText">
    <w:name w:val="annotation text"/>
    <w:basedOn w:val="Normal"/>
    <w:link w:val="CommentTextChar"/>
    <w:uiPriority w:val="99"/>
    <w:unhideWhenUsed/>
    <w:rsid w:val="00E30EA9"/>
    <w:rPr>
      <w:sz w:val="20"/>
      <w:szCs w:val="20"/>
    </w:rPr>
  </w:style>
  <w:style w:type="character" w:customStyle="1" w:styleId="CommentTextChar">
    <w:name w:val="Comment Text Char"/>
    <w:basedOn w:val="DefaultParagraphFont"/>
    <w:link w:val="CommentText"/>
    <w:uiPriority w:val="99"/>
    <w:rsid w:val="00E30EA9"/>
    <w:rPr>
      <w:sz w:val="20"/>
      <w:szCs w:val="20"/>
    </w:rPr>
  </w:style>
  <w:style w:type="paragraph" w:styleId="CommentSubject">
    <w:name w:val="annotation subject"/>
    <w:basedOn w:val="CommentText"/>
    <w:next w:val="CommentText"/>
    <w:link w:val="CommentSubjectChar"/>
    <w:uiPriority w:val="99"/>
    <w:semiHidden/>
    <w:unhideWhenUsed/>
    <w:rsid w:val="00E30EA9"/>
    <w:rPr>
      <w:b/>
      <w:bCs/>
    </w:rPr>
  </w:style>
  <w:style w:type="character" w:customStyle="1" w:styleId="CommentSubjectChar">
    <w:name w:val="Comment Subject Char"/>
    <w:basedOn w:val="CommentTextChar"/>
    <w:link w:val="CommentSubject"/>
    <w:uiPriority w:val="99"/>
    <w:semiHidden/>
    <w:rsid w:val="00E30EA9"/>
    <w:rPr>
      <w:b/>
      <w:bCs/>
      <w:sz w:val="20"/>
      <w:szCs w:val="20"/>
    </w:rPr>
  </w:style>
  <w:style w:type="table" w:styleId="TableGrid">
    <w:name w:val="Table Grid"/>
    <w:basedOn w:val="TableNormal"/>
    <w:uiPriority w:val="39"/>
    <w:rsid w:val="00D6111A"/>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5246">
      <w:bodyDiv w:val="1"/>
      <w:marLeft w:val="0"/>
      <w:marRight w:val="0"/>
      <w:marTop w:val="0"/>
      <w:marBottom w:val="0"/>
      <w:divBdr>
        <w:top w:val="none" w:sz="0" w:space="0" w:color="auto"/>
        <w:left w:val="none" w:sz="0" w:space="0" w:color="auto"/>
        <w:bottom w:val="none" w:sz="0" w:space="0" w:color="auto"/>
        <w:right w:val="none" w:sz="0" w:space="0" w:color="auto"/>
      </w:divBdr>
    </w:div>
    <w:div w:id="91902186">
      <w:bodyDiv w:val="1"/>
      <w:marLeft w:val="0"/>
      <w:marRight w:val="0"/>
      <w:marTop w:val="0"/>
      <w:marBottom w:val="0"/>
      <w:divBdr>
        <w:top w:val="none" w:sz="0" w:space="0" w:color="auto"/>
        <w:left w:val="none" w:sz="0" w:space="0" w:color="auto"/>
        <w:bottom w:val="none" w:sz="0" w:space="0" w:color="auto"/>
        <w:right w:val="none" w:sz="0" w:space="0" w:color="auto"/>
      </w:divBdr>
      <w:divsChild>
        <w:div w:id="1224293597">
          <w:marLeft w:val="0"/>
          <w:marRight w:val="0"/>
          <w:marTop w:val="0"/>
          <w:marBottom w:val="120"/>
          <w:divBdr>
            <w:top w:val="none" w:sz="0" w:space="0" w:color="auto"/>
            <w:left w:val="none" w:sz="0" w:space="0" w:color="auto"/>
            <w:bottom w:val="none" w:sz="0" w:space="0" w:color="auto"/>
            <w:right w:val="none" w:sz="0" w:space="0" w:color="auto"/>
          </w:divBdr>
        </w:div>
      </w:divsChild>
    </w:div>
    <w:div w:id="179003521">
      <w:bodyDiv w:val="1"/>
      <w:marLeft w:val="0"/>
      <w:marRight w:val="0"/>
      <w:marTop w:val="0"/>
      <w:marBottom w:val="0"/>
      <w:divBdr>
        <w:top w:val="none" w:sz="0" w:space="0" w:color="auto"/>
        <w:left w:val="none" w:sz="0" w:space="0" w:color="auto"/>
        <w:bottom w:val="none" w:sz="0" w:space="0" w:color="auto"/>
        <w:right w:val="none" w:sz="0" w:space="0" w:color="auto"/>
      </w:divBdr>
      <w:divsChild>
        <w:div w:id="1883051110">
          <w:marLeft w:val="0"/>
          <w:marRight w:val="0"/>
          <w:marTop w:val="0"/>
          <w:marBottom w:val="120"/>
          <w:divBdr>
            <w:top w:val="none" w:sz="0" w:space="0" w:color="auto"/>
            <w:left w:val="none" w:sz="0" w:space="0" w:color="auto"/>
            <w:bottom w:val="none" w:sz="0" w:space="0" w:color="auto"/>
            <w:right w:val="none" w:sz="0" w:space="0" w:color="auto"/>
          </w:divBdr>
        </w:div>
      </w:divsChild>
    </w:div>
    <w:div w:id="350449895">
      <w:bodyDiv w:val="1"/>
      <w:marLeft w:val="0"/>
      <w:marRight w:val="0"/>
      <w:marTop w:val="0"/>
      <w:marBottom w:val="0"/>
      <w:divBdr>
        <w:top w:val="none" w:sz="0" w:space="0" w:color="auto"/>
        <w:left w:val="none" w:sz="0" w:space="0" w:color="auto"/>
        <w:bottom w:val="none" w:sz="0" w:space="0" w:color="auto"/>
        <w:right w:val="none" w:sz="0" w:space="0" w:color="auto"/>
      </w:divBdr>
      <w:divsChild>
        <w:div w:id="1703166247">
          <w:marLeft w:val="0"/>
          <w:marRight w:val="0"/>
          <w:marTop w:val="0"/>
          <w:marBottom w:val="0"/>
          <w:divBdr>
            <w:top w:val="none" w:sz="0" w:space="0" w:color="auto"/>
            <w:left w:val="none" w:sz="0" w:space="0" w:color="auto"/>
            <w:bottom w:val="none" w:sz="0" w:space="0" w:color="auto"/>
            <w:right w:val="none" w:sz="0" w:space="0" w:color="auto"/>
          </w:divBdr>
        </w:div>
      </w:divsChild>
    </w:div>
    <w:div w:id="761223034">
      <w:bodyDiv w:val="1"/>
      <w:marLeft w:val="0"/>
      <w:marRight w:val="0"/>
      <w:marTop w:val="0"/>
      <w:marBottom w:val="0"/>
      <w:divBdr>
        <w:top w:val="none" w:sz="0" w:space="0" w:color="auto"/>
        <w:left w:val="none" w:sz="0" w:space="0" w:color="auto"/>
        <w:bottom w:val="none" w:sz="0" w:space="0" w:color="auto"/>
        <w:right w:val="none" w:sz="0" w:space="0" w:color="auto"/>
      </w:divBdr>
      <w:divsChild>
        <w:div w:id="1971666466">
          <w:marLeft w:val="0"/>
          <w:marRight w:val="0"/>
          <w:marTop w:val="0"/>
          <w:marBottom w:val="0"/>
          <w:divBdr>
            <w:top w:val="none" w:sz="0" w:space="0" w:color="auto"/>
            <w:left w:val="none" w:sz="0" w:space="0" w:color="auto"/>
            <w:bottom w:val="none" w:sz="0" w:space="0" w:color="auto"/>
            <w:right w:val="none" w:sz="0" w:space="0" w:color="auto"/>
          </w:divBdr>
        </w:div>
      </w:divsChild>
    </w:div>
    <w:div w:id="856768286">
      <w:bodyDiv w:val="1"/>
      <w:marLeft w:val="0"/>
      <w:marRight w:val="0"/>
      <w:marTop w:val="0"/>
      <w:marBottom w:val="0"/>
      <w:divBdr>
        <w:top w:val="none" w:sz="0" w:space="0" w:color="auto"/>
        <w:left w:val="none" w:sz="0" w:space="0" w:color="auto"/>
        <w:bottom w:val="none" w:sz="0" w:space="0" w:color="auto"/>
        <w:right w:val="none" w:sz="0" w:space="0" w:color="auto"/>
      </w:divBdr>
    </w:div>
    <w:div w:id="1119496740">
      <w:bodyDiv w:val="1"/>
      <w:marLeft w:val="0"/>
      <w:marRight w:val="0"/>
      <w:marTop w:val="0"/>
      <w:marBottom w:val="0"/>
      <w:divBdr>
        <w:top w:val="none" w:sz="0" w:space="0" w:color="auto"/>
        <w:left w:val="none" w:sz="0" w:space="0" w:color="auto"/>
        <w:bottom w:val="none" w:sz="0" w:space="0" w:color="auto"/>
        <w:right w:val="none" w:sz="0" w:space="0" w:color="auto"/>
      </w:divBdr>
      <w:divsChild>
        <w:div w:id="697201257">
          <w:marLeft w:val="0"/>
          <w:marRight w:val="0"/>
          <w:marTop w:val="0"/>
          <w:marBottom w:val="0"/>
          <w:divBdr>
            <w:top w:val="none" w:sz="0" w:space="0" w:color="auto"/>
            <w:left w:val="none" w:sz="0" w:space="0" w:color="auto"/>
            <w:bottom w:val="none" w:sz="0" w:space="0" w:color="auto"/>
            <w:right w:val="none" w:sz="0" w:space="0" w:color="auto"/>
          </w:divBdr>
          <w:divsChild>
            <w:div w:id="649090972">
              <w:marLeft w:val="0"/>
              <w:marRight w:val="0"/>
              <w:marTop w:val="0"/>
              <w:marBottom w:val="0"/>
              <w:divBdr>
                <w:top w:val="none" w:sz="0" w:space="0" w:color="auto"/>
                <w:left w:val="none" w:sz="0" w:space="0" w:color="auto"/>
                <w:bottom w:val="none" w:sz="0" w:space="0" w:color="auto"/>
                <w:right w:val="none" w:sz="0" w:space="0" w:color="auto"/>
              </w:divBdr>
              <w:divsChild>
                <w:div w:id="11218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5151">
      <w:bodyDiv w:val="1"/>
      <w:marLeft w:val="0"/>
      <w:marRight w:val="0"/>
      <w:marTop w:val="0"/>
      <w:marBottom w:val="0"/>
      <w:divBdr>
        <w:top w:val="none" w:sz="0" w:space="0" w:color="auto"/>
        <w:left w:val="none" w:sz="0" w:space="0" w:color="auto"/>
        <w:bottom w:val="none" w:sz="0" w:space="0" w:color="auto"/>
        <w:right w:val="none" w:sz="0" w:space="0" w:color="auto"/>
      </w:divBdr>
      <w:divsChild>
        <w:div w:id="394206058">
          <w:marLeft w:val="0"/>
          <w:marRight w:val="0"/>
          <w:marTop w:val="0"/>
          <w:marBottom w:val="0"/>
          <w:divBdr>
            <w:top w:val="none" w:sz="0" w:space="0" w:color="auto"/>
            <w:left w:val="none" w:sz="0" w:space="0" w:color="auto"/>
            <w:bottom w:val="none" w:sz="0" w:space="0" w:color="auto"/>
            <w:right w:val="none" w:sz="0" w:space="0" w:color="auto"/>
          </w:divBdr>
        </w:div>
      </w:divsChild>
    </w:div>
    <w:div w:id="1474903671">
      <w:bodyDiv w:val="1"/>
      <w:marLeft w:val="0"/>
      <w:marRight w:val="0"/>
      <w:marTop w:val="0"/>
      <w:marBottom w:val="0"/>
      <w:divBdr>
        <w:top w:val="none" w:sz="0" w:space="0" w:color="auto"/>
        <w:left w:val="none" w:sz="0" w:space="0" w:color="auto"/>
        <w:bottom w:val="none" w:sz="0" w:space="0" w:color="auto"/>
        <w:right w:val="none" w:sz="0" w:space="0" w:color="auto"/>
      </w:divBdr>
      <w:divsChild>
        <w:div w:id="860124594">
          <w:marLeft w:val="0"/>
          <w:marRight w:val="0"/>
          <w:marTop w:val="0"/>
          <w:marBottom w:val="0"/>
          <w:divBdr>
            <w:top w:val="none" w:sz="0" w:space="0" w:color="auto"/>
            <w:left w:val="none" w:sz="0" w:space="0" w:color="auto"/>
            <w:bottom w:val="none" w:sz="0" w:space="0" w:color="auto"/>
            <w:right w:val="none" w:sz="0" w:space="0" w:color="auto"/>
          </w:divBdr>
        </w:div>
      </w:divsChild>
    </w:div>
    <w:div w:id="2036729423">
      <w:bodyDiv w:val="1"/>
      <w:marLeft w:val="0"/>
      <w:marRight w:val="0"/>
      <w:marTop w:val="0"/>
      <w:marBottom w:val="0"/>
      <w:divBdr>
        <w:top w:val="none" w:sz="0" w:space="0" w:color="auto"/>
        <w:left w:val="none" w:sz="0" w:space="0" w:color="auto"/>
        <w:bottom w:val="none" w:sz="0" w:space="0" w:color="auto"/>
        <w:right w:val="none" w:sz="0" w:space="0" w:color="auto"/>
      </w:divBdr>
      <w:divsChild>
        <w:div w:id="188026604">
          <w:marLeft w:val="0"/>
          <w:marRight w:val="0"/>
          <w:marTop w:val="0"/>
          <w:marBottom w:val="0"/>
          <w:divBdr>
            <w:top w:val="none" w:sz="0" w:space="0" w:color="auto"/>
            <w:left w:val="none" w:sz="0" w:space="0" w:color="auto"/>
            <w:bottom w:val="none" w:sz="0" w:space="0" w:color="auto"/>
            <w:right w:val="none" w:sz="0" w:space="0" w:color="auto"/>
          </w:divBdr>
          <w:divsChild>
            <w:div w:id="1885017474">
              <w:marLeft w:val="0"/>
              <w:marRight w:val="0"/>
              <w:marTop w:val="0"/>
              <w:marBottom w:val="0"/>
              <w:divBdr>
                <w:top w:val="none" w:sz="0" w:space="0" w:color="auto"/>
                <w:left w:val="none" w:sz="0" w:space="0" w:color="auto"/>
                <w:bottom w:val="none" w:sz="0" w:space="0" w:color="auto"/>
                <w:right w:val="none" w:sz="0" w:space="0" w:color="auto"/>
              </w:divBdr>
              <w:divsChild>
                <w:div w:id="80763947">
                  <w:marLeft w:val="0"/>
                  <w:marRight w:val="0"/>
                  <w:marTop w:val="0"/>
                  <w:marBottom w:val="0"/>
                  <w:divBdr>
                    <w:top w:val="none" w:sz="0" w:space="0" w:color="auto"/>
                    <w:left w:val="none" w:sz="0" w:space="0" w:color="auto"/>
                    <w:bottom w:val="none" w:sz="0" w:space="0" w:color="auto"/>
                    <w:right w:val="none" w:sz="0" w:space="0" w:color="auto"/>
                  </w:divBdr>
                </w:div>
              </w:divsChild>
            </w:div>
            <w:div w:id="548612694">
              <w:marLeft w:val="0"/>
              <w:marRight w:val="0"/>
              <w:marTop w:val="0"/>
              <w:marBottom w:val="0"/>
              <w:divBdr>
                <w:top w:val="none" w:sz="0" w:space="0" w:color="auto"/>
                <w:left w:val="none" w:sz="0" w:space="0" w:color="auto"/>
                <w:bottom w:val="none" w:sz="0" w:space="0" w:color="auto"/>
                <w:right w:val="none" w:sz="0" w:space="0" w:color="auto"/>
              </w:divBdr>
              <w:divsChild>
                <w:div w:id="685980310">
                  <w:marLeft w:val="0"/>
                  <w:marRight w:val="0"/>
                  <w:marTop w:val="0"/>
                  <w:marBottom w:val="0"/>
                  <w:divBdr>
                    <w:top w:val="none" w:sz="0" w:space="0" w:color="auto"/>
                    <w:left w:val="none" w:sz="0" w:space="0" w:color="auto"/>
                    <w:bottom w:val="none" w:sz="0" w:space="0" w:color="auto"/>
                    <w:right w:val="none" w:sz="0" w:space="0" w:color="auto"/>
                  </w:divBdr>
                </w:div>
              </w:divsChild>
            </w:div>
            <w:div w:id="2101752215">
              <w:marLeft w:val="0"/>
              <w:marRight w:val="0"/>
              <w:marTop w:val="0"/>
              <w:marBottom w:val="0"/>
              <w:divBdr>
                <w:top w:val="none" w:sz="0" w:space="0" w:color="auto"/>
                <w:left w:val="none" w:sz="0" w:space="0" w:color="auto"/>
                <w:bottom w:val="none" w:sz="0" w:space="0" w:color="auto"/>
                <w:right w:val="none" w:sz="0" w:space="0" w:color="auto"/>
              </w:divBdr>
              <w:divsChild>
                <w:div w:id="1292711239">
                  <w:marLeft w:val="0"/>
                  <w:marRight w:val="0"/>
                  <w:marTop w:val="0"/>
                  <w:marBottom w:val="0"/>
                  <w:divBdr>
                    <w:top w:val="none" w:sz="0" w:space="0" w:color="auto"/>
                    <w:left w:val="none" w:sz="0" w:space="0" w:color="auto"/>
                    <w:bottom w:val="none" w:sz="0" w:space="0" w:color="auto"/>
                    <w:right w:val="none" w:sz="0" w:space="0" w:color="auto"/>
                  </w:divBdr>
                </w:div>
              </w:divsChild>
            </w:div>
            <w:div w:id="1644702198">
              <w:marLeft w:val="0"/>
              <w:marRight w:val="0"/>
              <w:marTop w:val="0"/>
              <w:marBottom w:val="0"/>
              <w:divBdr>
                <w:top w:val="none" w:sz="0" w:space="0" w:color="auto"/>
                <w:left w:val="none" w:sz="0" w:space="0" w:color="auto"/>
                <w:bottom w:val="none" w:sz="0" w:space="0" w:color="auto"/>
                <w:right w:val="none" w:sz="0" w:space="0" w:color="auto"/>
              </w:divBdr>
              <w:divsChild>
                <w:div w:id="328488735">
                  <w:marLeft w:val="0"/>
                  <w:marRight w:val="0"/>
                  <w:marTop w:val="0"/>
                  <w:marBottom w:val="0"/>
                  <w:divBdr>
                    <w:top w:val="none" w:sz="0" w:space="0" w:color="auto"/>
                    <w:left w:val="none" w:sz="0" w:space="0" w:color="auto"/>
                    <w:bottom w:val="none" w:sz="0" w:space="0" w:color="auto"/>
                    <w:right w:val="none" w:sz="0" w:space="0" w:color="auto"/>
                  </w:divBdr>
                </w:div>
              </w:divsChild>
            </w:div>
            <w:div w:id="771241794">
              <w:marLeft w:val="0"/>
              <w:marRight w:val="0"/>
              <w:marTop w:val="0"/>
              <w:marBottom w:val="0"/>
              <w:divBdr>
                <w:top w:val="none" w:sz="0" w:space="0" w:color="auto"/>
                <w:left w:val="none" w:sz="0" w:space="0" w:color="auto"/>
                <w:bottom w:val="none" w:sz="0" w:space="0" w:color="auto"/>
                <w:right w:val="none" w:sz="0" w:space="0" w:color="auto"/>
              </w:divBdr>
              <w:divsChild>
                <w:div w:id="1201354360">
                  <w:marLeft w:val="0"/>
                  <w:marRight w:val="0"/>
                  <w:marTop w:val="0"/>
                  <w:marBottom w:val="0"/>
                  <w:divBdr>
                    <w:top w:val="none" w:sz="0" w:space="0" w:color="auto"/>
                    <w:left w:val="none" w:sz="0" w:space="0" w:color="auto"/>
                    <w:bottom w:val="none" w:sz="0" w:space="0" w:color="auto"/>
                    <w:right w:val="none" w:sz="0" w:space="0" w:color="auto"/>
                  </w:divBdr>
                </w:div>
              </w:divsChild>
            </w:div>
            <w:div w:id="2141805751">
              <w:marLeft w:val="0"/>
              <w:marRight w:val="0"/>
              <w:marTop w:val="0"/>
              <w:marBottom w:val="0"/>
              <w:divBdr>
                <w:top w:val="none" w:sz="0" w:space="0" w:color="auto"/>
                <w:left w:val="none" w:sz="0" w:space="0" w:color="auto"/>
                <w:bottom w:val="none" w:sz="0" w:space="0" w:color="auto"/>
                <w:right w:val="none" w:sz="0" w:space="0" w:color="auto"/>
              </w:divBdr>
              <w:divsChild>
                <w:div w:id="436101157">
                  <w:marLeft w:val="0"/>
                  <w:marRight w:val="0"/>
                  <w:marTop w:val="0"/>
                  <w:marBottom w:val="0"/>
                  <w:divBdr>
                    <w:top w:val="none" w:sz="0" w:space="0" w:color="auto"/>
                    <w:left w:val="none" w:sz="0" w:space="0" w:color="auto"/>
                    <w:bottom w:val="none" w:sz="0" w:space="0" w:color="auto"/>
                    <w:right w:val="none" w:sz="0" w:space="0" w:color="auto"/>
                  </w:divBdr>
                  <w:divsChild>
                    <w:div w:id="9650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65/amr.2018.0285" TargetMode="External"/><Relationship Id="rId13" Type="http://schemas.openxmlformats.org/officeDocument/2006/relationships/hyperlink" Target="https://doi.org/10.1111/joms.12709" TargetMode="External"/><Relationship Id="rId18" Type="http://schemas.openxmlformats.org/officeDocument/2006/relationships/hyperlink" Target="https://doi.org/10.1080/09537325.2018.1463934" TargetMode="External"/><Relationship Id="rId3" Type="http://schemas.openxmlformats.org/officeDocument/2006/relationships/settings" Target="settings.xml"/><Relationship Id="rId21" Type="http://schemas.openxmlformats.org/officeDocument/2006/relationships/hyperlink" Target="https://doi.org/10.1016/j.techfore.2014.08.016" TargetMode="External"/><Relationship Id="rId7" Type="http://schemas.openxmlformats.org/officeDocument/2006/relationships/hyperlink" Target="https://www.tandfonline.com/journals/urtm20" TargetMode="External"/><Relationship Id="rId12" Type="http://schemas.openxmlformats.org/officeDocument/2006/relationships/hyperlink" Target="https://doi.org/10.1016/j.techfore.2020.119966" TargetMode="External"/><Relationship Id="rId17" Type="http://schemas.openxmlformats.org/officeDocument/2006/relationships/hyperlink" Target="http://dx.doi.org/10.1016/j.techfore.2019.119873" TargetMode="External"/><Relationship Id="rId2" Type="http://schemas.openxmlformats.org/officeDocument/2006/relationships/styles" Target="styles.xml"/><Relationship Id="rId16" Type="http://schemas.openxmlformats.org/officeDocument/2006/relationships/hyperlink" Target="https://doi.org/10.1016/j.techfore.2017.12.013" TargetMode="External"/><Relationship Id="rId20" Type="http://schemas.openxmlformats.org/officeDocument/2006/relationships/hyperlink" Target="https://doi.org/10.1016/j.techfore.2011.07.010" TargetMode="External"/><Relationship Id="rId1" Type="http://schemas.openxmlformats.org/officeDocument/2006/relationships/numbering" Target="numbering.xml"/><Relationship Id="rId6" Type="http://schemas.openxmlformats.org/officeDocument/2006/relationships/hyperlink" Target="https://www.tcd.ie/business/events-calendar/events/ipdmc-2024-conference.php" TargetMode="External"/><Relationship Id="rId11" Type="http://schemas.openxmlformats.org/officeDocument/2006/relationships/hyperlink" Target="https://doi.org/10.1016/j.jbvi.2018.01.001" TargetMode="External"/><Relationship Id="rId24" Type="http://schemas.openxmlformats.org/officeDocument/2006/relationships/theme" Target="theme/theme1.xml"/><Relationship Id="rId5" Type="http://schemas.openxmlformats.org/officeDocument/2006/relationships/hyperlink" Target="https://www.tcd.ie/business/events-calendar/events/ipdmc-2024-conference.php" TargetMode="External"/><Relationship Id="rId15" Type="http://schemas.openxmlformats.org/officeDocument/2006/relationships/hyperlink" Target="https://doi.org/10.1016/j.lrp.2021.102070" TargetMode="External"/><Relationship Id="rId23" Type="http://schemas.openxmlformats.org/officeDocument/2006/relationships/fontTable" Target="fontTable.xml"/><Relationship Id="rId10" Type="http://schemas.openxmlformats.org/officeDocument/2006/relationships/hyperlink" Target="https://doi.org/10.1111/jpim.12698" TargetMode="External"/><Relationship Id="rId19" Type="http://schemas.openxmlformats.org/officeDocument/2006/relationships/hyperlink" Target="https://doi.org/10.1016/j.lrp.2021.102181" TargetMode="External"/><Relationship Id="rId4" Type="http://schemas.openxmlformats.org/officeDocument/2006/relationships/webSettings" Target="webSettings.xml"/><Relationship Id="rId9" Type="http://schemas.openxmlformats.org/officeDocument/2006/relationships/hyperlink" Target="https://doi.org/10.1109/TEM.2021.3077342" TargetMode="External"/><Relationship Id="rId14" Type="http://schemas.openxmlformats.org/officeDocument/2006/relationships/hyperlink" Target="https://doi.org/10.1111/jpim.12586" TargetMode="External"/><Relationship Id="rId22" Type="http://schemas.openxmlformats.org/officeDocument/2006/relationships/hyperlink" Target="https://doi.org/10.1111/jpim.126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1508</Words>
  <Characters>8599</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Magistretti</dc:creator>
  <cp:keywords/>
  <dc:description/>
  <cp:lastModifiedBy>Tammy McCausland</cp:lastModifiedBy>
  <cp:revision>3</cp:revision>
  <dcterms:created xsi:type="dcterms:W3CDTF">2024-07-18T19:29:00Z</dcterms:created>
  <dcterms:modified xsi:type="dcterms:W3CDTF">2024-07-18T19:32:00Z</dcterms:modified>
</cp:coreProperties>
</file>